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8"/>
      </w:tblGrid>
      <w:tr w:rsidR="000306A7" w:rsidRPr="00FB5DE3" w14:paraId="1AAD3644" w14:textId="77777777" w:rsidTr="00FB5DE3">
        <w:tc>
          <w:tcPr>
            <w:tcW w:w="2490" w:type="dxa"/>
          </w:tcPr>
          <w:p w14:paraId="0471B50E" w14:textId="77777777" w:rsidR="000306A7" w:rsidRPr="00FB5DE3" w:rsidRDefault="000306A7" w:rsidP="00FB5DE3">
            <w:pPr>
              <w:jc w:val="both"/>
              <w:rPr>
                <w:rFonts w:eastAsia="Calibri"/>
                <w:sz w:val="28"/>
                <w:szCs w:val="28"/>
              </w:rPr>
            </w:pPr>
          </w:p>
        </w:tc>
        <w:tc>
          <w:tcPr>
            <w:tcW w:w="5840" w:type="dxa"/>
          </w:tcPr>
          <w:p w14:paraId="193B8014" w14:textId="77777777" w:rsidR="000306A7" w:rsidRPr="00FB5DE3" w:rsidRDefault="000306A7" w:rsidP="00FB5DE3">
            <w:pPr>
              <w:jc w:val="both"/>
              <w:rPr>
                <w:rFonts w:eastAsia="Calibri"/>
                <w:sz w:val="28"/>
                <w:szCs w:val="28"/>
              </w:rPr>
            </w:pPr>
          </w:p>
        </w:tc>
      </w:tr>
      <w:tr w:rsidR="000306A7" w:rsidRPr="00FB5DE3" w14:paraId="00D062D9" w14:textId="77777777" w:rsidTr="00FB5DE3">
        <w:tc>
          <w:tcPr>
            <w:tcW w:w="2490" w:type="dxa"/>
          </w:tcPr>
          <w:p w14:paraId="02078E9F" w14:textId="77777777" w:rsidR="000306A7" w:rsidRPr="00FB5DE3" w:rsidRDefault="000306A7" w:rsidP="00FB5DE3">
            <w:pPr>
              <w:jc w:val="both"/>
              <w:rPr>
                <w:rFonts w:eastAsia="Calibri"/>
                <w:sz w:val="28"/>
                <w:szCs w:val="28"/>
              </w:rPr>
            </w:pPr>
          </w:p>
        </w:tc>
        <w:tc>
          <w:tcPr>
            <w:tcW w:w="5840" w:type="dxa"/>
          </w:tcPr>
          <w:p w14:paraId="76F71AE9" w14:textId="77777777" w:rsidR="000306A7" w:rsidRPr="00FB5DE3" w:rsidRDefault="000306A7" w:rsidP="00FB5DE3">
            <w:pPr>
              <w:jc w:val="both"/>
              <w:rPr>
                <w:rFonts w:eastAsia="Calibri"/>
                <w:sz w:val="28"/>
                <w:szCs w:val="28"/>
              </w:rPr>
            </w:pPr>
          </w:p>
        </w:tc>
      </w:tr>
      <w:tr w:rsidR="000306A7" w:rsidRPr="00FB5DE3" w14:paraId="06BE642A" w14:textId="77777777" w:rsidTr="00FB5DE3">
        <w:tc>
          <w:tcPr>
            <w:tcW w:w="2490" w:type="dxa"/>
          </w:tcPr>
          <w:p w14:paraId="556CCF29" w14:textId="77777777" w:rsidR="000306A7" w:rsidRPr="00FB5DE3" w:rsidRDefault="000306A7" w:rsidP="00FB5DE3">
            <w:pPr>
              <w:jc w:val="both"/>
              <w:rPr>
                <w:rFonts w:eastAsia="Calibri"/>
                <w:sz w:val="28"/>
                <w:szCs w:val="28"/>
              </w:rPr>
            </w:pPr>
          </w:p>
        </w:tc>
        <w:tc>
          <w:tcPr>
            <w:tcW w:w="5840" w:type="dxa"/>
          </w:tcPr>
          <w:p w14:paraId="4A5437CE" w14:textId="77777777" w:rsidR="000306A7" w:rsidRPr="00FB5DE3" w:rsidRDefault="000306A7" w:rsidP="00FB5DE3">
            <w:pPr>
              <w:jc w:val="both"/>
              <w:rPr>
                <w:rFonts w:eastAsia="Calibri"/>
                <w:sz w:val="28"/>
                <w:szCs w:val="28"/>
              </w:rPr>
            </w:pPr>
          </w:p>
          <w:p w14:paraId="1BEDABF6" w14:textId="77777777" w:rsidR="000306A7" w:rsidRPr="00FB5DE3" w:rsidRDefault="000306A7" w:rsidP="00FB5DE3">
            <w:pPr>
              <w:jc w:val="both"/>
              <w:rPr>
                <w:rFonts w:eastAsia="Calibri"/>
                <w:sz w:val="28"/>
                <w:szCs w:val="28"/>
              </w:rPr>
            </w:pPr>
          </w:p>
          <w:p w14:paraId="07EAB2D8" w14:textId="77777777" w:rsidR="000306A7" w:rsidRPr="00FB5DE3" w:rsidRDefault="000306A7" w:rsidP="00FB5DE3">
            <w:pPr>
              <w:jc w:val="both"/>
              <w:rPr>
                <w:rFonts w:eastAsia="Calibri"/>
                <w:sz w:val="28"/>
                <w:szCs w:val="28"/>
              </w:rPr>
            </w:pPr>
          </w:p>
          <w:p w14:paraId="51DBBDF7" w14:textId="77777777" w:rsidR="000306A7" w:rsidRPr="00FB5DE3" w:rsidRDefault="000306A7" w:rsidP="00FB5DE3">
            <w:pPr>
              <w:jc w:val="both"/>
              <w:rPr>
                <w:rFonts w:eastAsia="Calibri"/>
                <w:sz w:val="28"/>
                <w:szCs w:val="28"/>
              </w:rPr>
            </w:pPr>
          </w:p>
          <w:p w14:paraId="7613A117" w14:textId="77777777" w:rsidR="000306A7" w:rsidRPr="00FB5DE3" w:rsidRDefault="000306A7" w:rsidP="00FB5DE3">
            <w:pPr>
              <w:jc w:val="both"/>
              <w:rPr>
                <w:rFonts w:eastAsia="Calibri"/>
                <w:sz w:val="28"/>
                <w:szCs w:val="28"/>
              </w:rPr>
            </w:pPr>
          </w:p>
          <w:p w14:paraId="6A17F2ED" w14:textId="77777777" w:rsidR="000306A7" w:rsidRPr="00FB5DE3" w:rsidRDefault="000306A7" w:rsidP="00FB5DE3">
            <w:pPr>
              <w:jc w:val="both"/>
              <w:rPr>
                <w:rFonts w:eastAsia="Calibri"/>
                <w:sz w:val="28"/>
                <w:szCs w:val="28"/>
              </w:rPr>
            </w:pPr>
          </w:p>
          <w:p w14:paraId="33CF6CCD" w14:textId="77777777" w:rsidR="000306A7" w:rsidRPr="00FB5DE3" w:rsidRDefault="000306A7" w:rsidP="00FB5DE3">
            <w:pPr>
              <w:jc w:val="both"/>
              <w:rPr>
                <w:rFonts w:eastAsia="Calibri"/>
                <w:sz w:val="28"/>
                <w:szCs w:val="28"/>
              </w:rPr>
            </w:pPr>
          </w:p>
          <w:p w14:paraId="378DD43B" w14:textId="77777777" w:rsidR="000306A7" w:rsidRPr="00FB5DE3" w:rsidRDefault="000306A7" w:rsidP="00FB5DE3">
            <w:pPr>
              <w:jc w:val="both"/>
              <w:rPr>
                <w:rFonts w:eastAsia="Calibri"/>
                <w:sz w:val="28"/>
                <w:szCs w:val="28"/>
              </w:rPr>
            </w:pPr>
          </w:p>
          <w:p w14:paraId="5713BA84" w14:textId="77777777" w:rsidR="000306A7" w:rsidRPr="00FB5DE3" w:rsidRDefault="000306A7" w:rsidP="00FB5DE3">
            <w:pPr>
              <w:jc w:val="both"/>
              <w:rPr>
                <w:rFonts w:eastAsia="Calibri"/>
                <w:sz w:val="28"/>
                <w:szCs w:val="28"/>
              </w:rPr>
            </w:pPr>
          </w:p>
          <w:p w14:paraId="2AE7470D" w14:textId="77777777" w:rsidR="000306A7" w:rsidRPr="00FB5DE3" w:rsidRDefault="000306A7" w:rsidP="00FB5DE3">
            <w:pPr>
              <w:jc w:val="both"/>
              <w:rPr>
                <w:rFonts w:eastAsia="Calibri"/>
                <w:sz w:val="28"/>
                <w:szCs w:val="28"/>
              </w:rPr>
            </w:pPr>
          </w:p>
          <w:p w14:paraId="059D832F" w14:textId="77777777" w:rsidR="000306A7" w:rsidRPr="00FB5DE3" w:rsidRDefault="000306A7" w:rsidP="00FB5DE3">
            <w:pPr>
              <w:jc w:val="both"/>
              <w:rPr>
                <w:rFonts w:eastAsia="Calibri"/>
                <w:sz w:val="28"/>
                <w:szCs w:val="28"/>
              </w:rPr>
            </w:pPr>
          </w:p>
        </w:tc>
      </w:tr>
      <w:tr w:rsidR="000306A7" w:rsidRPr="00FB5DE3" w14:paraId="11FEDE71" w14:textId="77777777" w:rsidTr="00FB5DE3">
        <w:tc>
          <w:tcPr>
            <w:tcW w:w="2490" w:type="dxa"/>
          </w:tcPr>
          <w:p w14:paraId="51155AAD" w14:textId="77777777" w:rsidR="000306A7" w:rsidRPr="00FB5DE3" w:rsidRDefault="000306A7" w:rsidP="00FB5DE3">
            <w:pPr>
              <w:jc w:val="both"/>
              <w:rPr>
                <w:rFonts w:eastAsia="Calibri"/>
                <w:sz w:val="28"/>
                <w:szCs w:val="28"/>
              </w:rPr>
            </w:pPr>
          </w:p>
        </w:tc>
        <w:tc>
          <w:tcPr>
            <w:tcW w:w="5840" w:type="dxa"/>
          </w:tcPr>
          <w:p w14:paraId="3B447A43" w14:textId="77777777" w:rsidR="000306A7" w:rsidRPr="00FB5DE3" w:rsidRDefault="0067484B" w:rsidP="000306A7">
            <w:pPr>
              <w:rPr>
                <w:rFonts w:eastAsia="Calibri"/>
                <w:sz w:val="32"/>
                <w:szCs w:val="32"/>
              </w:rPr>
            </w:pPr>
            <w:r>
              <w:rPr>
                <w:rFonts w:eastAsia="Calibri"/>
                <w:sz w:val="32"/>
                <w:szCs w:val="32"/>
              </w:rPr>
              <w:t xml:space="preserve">Market Code Schedule </w:t>
            </w:r>
            <w:r w:rsidR="002C65B3">
              <w:rPr>
                <w:rFonts w:eastAsia="Calibri"/>
                <w:sz w:val="32"/>
                <w:szCs w:val="32"/>
              </w:rPr>
              <w:t xml:space="preserve">8 </w:t>
            </w:r>
          </w:p>
          <w:p w14:paraId="4D1326E5" w14:textId="77777777" w:rsidR="000306A7" w:rsidRPr="00FB5DE3" w:rsidRDefault="000306A7" w:rsidP="000306A7">
            <w:pPr>
              <w:rPr>
                <w:rFonts w:eastAsia="Calibri"/>
                <w:sz w:val="32"/>
                <w:szCs w:val="32"/>
              </w:rPr>
            </w:pPr>
          </w:p>
          <w:p w14:paraId="72C7EEC3" w14:textId="77777777" w:rsidR="000306A7" w:rsidRPr="00FB5DE3" w:rsidRDefault="000306A7" w:rsidP="000306A7">
            <w:pPr>
              <w:rPr>
                <w:rFonts w:eastAsia="Calibri"/>
                <w:sz w:val="32"/>
                <w:szCs w:val="32"/>
              </w:rPr>
            </w:pPr>
            <w:r w:rsidRPr="00FB5DE3">
              <w:rPr>
                <w:rFonts w:eastAsia="Calibri"/>
                <w:sz w:val="32"/>
                <w:szCs w:val="32"/>
              </w:rPr>
              <w:t xml:space="preserve">Code Subsidiary Document No. </w:t>
            </w:r>
            <w:r w:rsidR="0067484B">
              <w:rPr>
                <w:rFonts w:eastAsia="Calibri"/>
                <w:sz w:val="32"/>
                <w:szCs w:val="32"/>
              </w:rPr>
              <w:t>0003</w:t>
            </w:r>
          </w:p>
          <w:p w14:paraId="7B1FAB4B" w14:textId="77777777" w:rsidR="000306A7" w:rsidRPr="00FB5DE3" w:rsidRDefault="000306A7" w:rsidP="000306A7">
            <w:pPr>
              <w:rPr>
                <w:rFonts w:eastAsia="Calibri"/>
                <w:sz w:val="32"/>
                <w:szCs w:val="32"/>
              </w:rPr>
            </w:pPr>
          </w:p>
          <w:p w14:paraId="08FB5136" w14:textId="77777777" w:rsidR="0067484B" w:rsidRPr="00FB5DE3" w:rsidRDefault="0067484B" w:rsidP="0067484B">
            <w:pPr>
              <w:autoSpaceDE w:val="0"/>
              <w:autoSpaceDN w:val="0"/>
              <w:adjustRightInd w:val="0"/>
              <w:spacing w:line="288" w:lineRule="auto"/>
              <w:rPr>
                <w:rFonts w:eastAsia="Calibri"/>
                <w:sz w:val="32"/>
                <w:szCs w:val="32"/>
              </w:rPr>
            </w:pPr>
            <w:r>
              <w:rPr>
                <w:rFonts w:eastAsia="Calibri"/>
                <w:sz w:val="32"/>
                <w:szCs w:val="32"/>
              </w:rPr>
              <w:t xml:space="preserve">Provider of </w:t>
            </w:r>
            <w:r w:rsidR="002C65B3">
              <w:rPr>
                <w:rFonts w:eastAsia="Calibri"/>
                <w:sz w:val="32"/>
                <w:szCs w:val="32"/>
              </w:rPr>
              <w:t>L</w:t>
            </w:r>
            <w:r>
              <w:rPr>
                <w:rFonts w:eastAsia="Calibri"/>
                <w:sz w:val="32"/>
                <w:szCs w:val="32"/>
              </w:rPr>
              <w:t xml:space="preserve">ast </w:t>
            </w:r>
            <w:r w:rsidR="002C65B3">
              <w:rPr>
                <w:rFonts w:eastAsia="Calibri"/>
                <w:sz w:val="32"/>
                <w:szCs w:val="32"/>
              </w:rPr>
              <w:t>R</w:t>
            </w:r>
            <w:r>
              <w:rPr>
                <w:rFonts w:eastAsia="Calibri"/>
                <w:sz w:val="32"/>
                <w:szCs w:val="32"/>
              </w:rPr>
              <w:t>esort</w:t>
            </w:r>
          </w:p>
          <w:p w14:paraId="2C674CED" w14:textId="77777777" w:rsidR="000306A7" w:rsidRPr="00FB5DE3" w:rsidRDefault="000306A7" w:rsidP="00FB5DE3">
            <w:pPr>
              <w:jc w:val="both"/>
              <w:rPr>
                <w:rFonts w:eastAsia="Calibri"/>
                <w:sz w:val="28"/>
                <w:szCs w:val="28"/>
              </w:rPr>
            </w:pPr>
          </w:p>
        </w:tc>
      </w:tr>
      <w:tr w:rsidR="000306A7" w:rsidRPr="00FB5DE3" w14:paraId="1F795EF2" w14:textId="77777777" w:rsidTr="00FB5DE3">
        <w:tc>
          <w:tcPr>
            <w:tcW w:w="2490" w:type="dxa"/>
          </w:tcPr>
          <w:p w14:paraId="79A84D52" w14:textId="77777777" w:rsidR="000306A7" w:rsidRPr="00FB5DE3" w:rsidRDefault="000306A7" w:rsidP="00FB5DE3">
            <w:pPr>
              <w:jc w:val="both"/>
              <w:rPr>
                <w:rFonts w:eastAsia="Calibri"/>
                <w:sz w:val="28"/>
                <w:szCs w:val="28"/>
              </w:rPr>
            </w:pPr>
          </w:p>
        </w:tc>
        <w:tc>
          <w:tcPr>
            <w:tcW w:w="5840" w:type="dxa"/>
          </w:tcPr>
          <w:p w14:paraId="48AB2C70" w14:textId="77777777" w:rsidR="000306A7" w:rsidRPr="00FB5DE3" w:rsidRDefault="000306A7" w:rsidP="00FB5DE3">
            <w:pPr>
              <w:jc w:val="both"/>
              <w:rPr>
                <w:rFonts w:eastAsia="Calibri"/>
                <w:sz w:val="28"/>
                <w:szCs w:val="28"/>
              </w:rPr>
            </w:pPr>
          </w:p>
          <w:p w14:paraId="69D4A305" w14:textId="77777777" w:rsidR="000306A7" w:rsidRPr="00FB5DE3" w:rsidRDefault="000306A7" w:rsidP="00FB5DE3">
            <w:pPr>
              <w:jc w:val="both"/>
              <w:rPr>
                <w:rFonts w:eastAsia="Calibri"/>
                <w:sz w:val="28"/>
                <w:szCs w:val="28"/>
              </w:rPr>
            </w:pPr>
          </w:p>
          <w:p w14:paraId="1D7EEAF5" w14:textId="77777777" w:rsidR="000306A7" w:rsidRPr="00FB5DE3" w:rsidRDefault="000306A7" w:rsidP="00FB5DE3">
            <w:pPr>
              <w:jc w:val="both"/>
              <w:rPr>
                <w:rFonts w:eastAsia="Calibri"/>
                <w:sz w:val="28"/>
                <w:szCs w:val="28"/>
              </w:rPr>
            </w:pPr>
          </w:p>
          <w:p w14:paraId="29088150" w14:textId="77777777" w:rsidR="000306A7" w:rsidRPr="00FB5DE3" w:rsidRDefault="000306A7" w:rsidP="00FB5DE3">
            <w:pPr>
              <w:jc w:val="both"/>
              <w:rPr>
                <w:rFonts w:eastAsia="Calibri"/>
                <w:sz w:val="28"/>
                <w:szCs w:val="28"/>
              </w:rPr>
            </w:pPr>
          </w:p>
          <w:p w14:paraId="46559867" w14:textId="77777777" w:rsidR="000306A7" w:rsidRPr="00FB5DE3" w:rsidRDefault="000306A7" w:rsidP="00FB5DE3">
            <w:pPr>
              <w:jc w:val="both"/>
              <w:rPr>
                <w:rFonts w:eastAsia="Calibri"/>
                <w:sz w:val="28"/>
                <w:szCs w:val="28"/>
              </w:rPr>
            </w:pPr>
          </w:p>
          <w:p w14:paraId="5CC4860D" w14:textId="77777777" w:rsidR="000306A7" w:rsidRPr="00FB5DE3" w:rsidRDefault="000306A7" w:rsidP="00FB5DE3">
            <w:pPr>
              <w:jc w:val="both"/>
              <w:rPr>
                <w:rFonts w:eastAsia="Calibri"/>
                <w:sz w:val="28"/>
                <w:szCs w:val="28"/>
              </w:rPr>
            </w:pPr>
          </w:p>
          <w:p w14:paraId="7A578A5E" w14:textId="77777777" w:rsidR="000306A7" w:rsidRPr="00FB5DE3" w:rsidRDefault="000306A7" w:rsidP="00FB5DE3">
            <w:pPr>
              <w:jc w:val="both"/>
              <w:rPr>
                <w:rFonts w:eastAsia="Calibri"/>
                <w:sz w:val="28"/>
                <w:szCs w:val="28"/>
              </w:rPr>
            </w:pPr>
          </w:p>
          <w:p w14:paraId="0B643CB3" w14:textId="77777777" w:rsidR="000306A7" w:rsidRPr="00FB5DE3" w:rsidRDefault="000306A7" w:rsidP="00FB5DE3">
            <w:pPr>
              <w:jc w:val="both"/>
              <w:rPr>
                <w:rFonts w:eastAsia="Calibri"/>
                <w:sz w:val="28"/>
                <w:szCs w:val="28"/>
              </w:rPr>
            </w:pPr>
          </w:p>
        </w:tc>
      </w:tr>
      <w:tr w:rsidR="000306A7" w:rsidRPr="00FB5DE3" w14:paraId="634A4C1D" w14:textId="77777777" w:rsidTr="00FB5DE3">
        <w:tc>
          <w:tcPr>
            <w:tcW w:w="2490" w:type="dxa"/>
          </w:tcPr>
          <w:p w14:paraId="0E3C1B12" w14:textId="77777777" w:rsidR="000306A7" w:rsidRPr="00FB5DE3" w:rsidRDefault="000306A7" w:rsidP="00FB5DE3">
            <w:pPr>
              <w:jc w:val="both"/>
              <w:rPr>
                <w:rFonts w:eastAsia="Calibri"/>
                <w:sz w:val="28"/>
                <w:szCs w:val="28"/>
              </w:rPr>
            </w:pPr>
          </w:p>
        </w:tc>
        <w:tc>
          <w:tcPr>
            <w:tcW w:w="5840" w:type="dxa"/>
          </w:tcPr>
          <w:p w14:paraId="32E73B03" w14:textId="3CE32ADC" w:rsidR="0067484B" w:rsidRPr="00FB5DE3" w:rsidRDefault="0067484B" w:rsidP="0067484B">
            <w:pPr>
              <w:rPr>
                <w:rFonts w:eastAsia="Calibri"/>
                <w:sz w:val="28"/>
                <w:szCs w:val="28"/>
              </w:rPr>
            </w:pPr>
            <w:r w:rsidRPr="00FB5DE3">
              <w:rPr>
                <w:rFonts w:eastAsia="Calibri"/>
                <w:sz w:val="28"/>
                <w:szCs w:val="28"/>
              </w:rPr>
              <w:t xml:space="preserve">Version: </w:t>
            </w:r>
            <w:r w:rsidR="009307A7">
              <w:rPr>
                <w:rFonts w:eastAsia="Calibri"/>
                <w:sz w:val="28"/>
                <w:szCs w:val="28"/>
              </w:rPr>
              <w:t>6</w:t>
            </w:r>
            <w:r w:rsidR="001E6D20">
              <w:rPr>
                <w:rFonts w:eastAsia="Calibri"/>
                <w:sz w:val="28"/>
                <w:szCs w:val="28"/>
              </w:rPr>
              <w:t>.0</w:t>
            </w:r>
          </w:p>
          <w:p w14:paraId="6BCFA1C7" w14:textId="77777777" w:rsidR="000306A7" w:rsidRPr="00FB5DE3" w:rsidRDefault="000306A7" w:rsidP="000306A7">
            <w:pPr>
              <w:rPr>
                <w:rFonts w:eastAsia="Calibri"/>
                <w:sz w:val="28"/>
                <w:szCs w:val="28"/>
              </w:rPr>
            </w:pPr>
          </w:p>
          <w:p w14:paraId="177E3845" w14:textId="13A1934E" w:rsidR="000306A7" w:rsidRPr="00FB5DE3" w:rsidRDefault="000306A7" w:rsidP="000306A7">
            <w:pPr>
              <w:rPr>
                <w:rFonts w:eastAsia="Calibri"/>
                <w:sz w:val="28"/>
                <w:szCs w:val="28"/>
              </w:rPr>
            </w:pPr>
            <w:r w:rsidRPr="00FB5DE3">
              <w:rPr>
                <w:rFonts w:eastAsia="Calibri"/>
                <w:sz w:val="28"/>
                <w:szCs w:val="28"/>
              </w:rPr>
              <w:t xml:space="preserve">Date: </w:t>
            </w:r>
            <w:r w:rsidR="009307A7">
              <w:rPr>
                <w:rFonts w:eastAsia="Calibri"/>
                <w:sz w:val="28"/>
                <w:szCs w:val="28"/>
              </w:rPr>
              <w:t>2025-08-01</w:t>
            </w:r>
            <w:r w:rsidR="003E1615">
              <w:rPr>
                <w:rFonts w:eastAsia="Calibri"/>
                <w:sz w:val="28"/>
                <w:szCs w:val="28"/>
              </w:rPr>
              <w:t xml:space="preserve">  </w:t>
            </w:r>
          </w:p>
          <w:p w14:paraId="604174F9" w14:textId="77777777" w:rsidR="000306A7" w:rsidRPr="00FB5DE3" w:rsidRDefault="000306A7" w:rsidP="000306A7">
            <w:pPr>
              <w:rPr>
                <w:rFonts w:eastAsia="Calibri"/>
                <w:sz w:val="28"/>
                <w:szCs w:val="28"/>
              </w:rPr>
            </w:pPr>
          </w:p>
          <w:p w14:paraId="4A31605A" w14:textId="77777777" w:rsidR="000306A7" w:rsidRPr="00FB5DE3" w:rsidRDefault="00974C43" w:rsidP="0067484B">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67484B">
              <w:rPr>
                <w:rFonts w:eastAsia="Calibri"/>
                <w:sz w:val="28"/>
                <w:szCs w:val="28"/>
              </w:rPr>
              <w:t>003</w:t>
            </w:r>
          </w:p>
        </w:tc>
      </w:tr>
    </w:tbl>
    <w:p w14:paraId="3456D232" w14:textId="77777777" w:rsidR="000306A7" w:rsidRDefault="000306A7" w:rsidP="000306A7">
      <w:pPr>
        <w:rPr>
          <w:lang w:eastAsia="en-US"/>
        </w:rPr>
      </w:pPr>
    </w:p>
    <w:p w14:paraId="01CAA3F5"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56008EAC"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46D3ECF9" w14:textId="77777777" w:rsidTr="00F55C49">
        <w:tc>
          <w:tcPr>
            <w:tcW w:w="972" w:type="dxa"/>
          </w:tcPr>
          <w:p w14:paraId="6E6E3DD1" w14:textId="77777777" w:rsidR="00F55C49" w:rsidRDefault="00F55C49" w:rsidP="00F55C49">
            <w:pPr>
              <w:spacing w:before="120" w:after="120"/>
              <w:jc w:val="center"/>
              <w:rPr>
                <w:b/>
                <w:bCs/>
                <w:szCs w:val="22"/>
              </w:rPr>
            </w:pPr>
            <w:r>
              <w:rPr>
                <w:b/>
                <w:bCs/>
                <w:szCs w:val="22"/>
              </w:rPr>
              <w:t>Version Number</w:t>
            </w:r>
          </w:p>
        </w:tc>
        <w:tc>
          <w:tcPr>
            <w:tcW w:w="1263" w:type="dxa"/>
          </w:tcPr>
          <w:p w14:paraId="164669E6" w14:textId="77777777" w:rsidR="00F55C49" w:rsidRDefault="00F55C49" w:rsidP="00F55C49">
            <w:pPr>
              <w:spacing w:before="120" w:after="120"/>
              <w:jc w:val="center"/>
              <w:rPr>
                <w:b/>
                <w:bCs/>
                <w:szCs w:val="22"/>
              </w:rPr>
            </w:pPr>
            <w:r>
              <w:rPr>
                <w:b/>
                <w:bCs/>
                <w:szCs w:val="22"/>
              </w:rPr>
              <w:t>Date of Issue</w:t>
            </w:r>
          </w:p>
        </w:tc>
        <w:tc>
          <w:tcPr>
            <w:tcW w:w="2551" w:type="dxa"/>
          </w:tcPr>
          <w:p w14:paraId="2659507B" w14:textId="77777777" w:rsidR="00F55C49" w:rsidRDefault="00F55C49" w:rsidP="00F55C49">
            <w:pPr>
              <w:spacing w:before="120" w:after="120"/>
              <w:jc w:val="center"/>
              <w:rPr>
                <w:b/>
                <w:bCs/>
                <w:szCs w:val="22"/>
              </w:rPr>
            </w:pPr>
            <w:r>
              <w:rPr>
                <w:b/>
                <w:bCs/>
                <w:szCs w:val="22"/>
              </w:rPr>
              <w:t>Reason For Change</w:t>
            </w:r>
          </w:p>
        </w:tc>
        <w:tc>
          <w:tcPr>
            <w:tcW w:w="1559" w:type="dxa"/>
          </w:tcPr>
          <w:p w14:paraId="4B7153CD" w14:textId="77777777" w:rsidR="00F55C49" w:rsidRDefault="00F55C49" w:rsidP="00F55C49">
            <w:pPr>
              <w:spacing w:before="120" w:after="120"/>
              <w:jc w:val="center"/>
              <w:rPr>
                <w:b/>
                <w:bCs/>
                <w:szCs w:val="22"/>
              </w:rPr>
            </w:pPr>
            <w:r>
              <w:rPr>
                <w:b/>
                <w:bCs/>
                <w:szCs w:val="22"/>
              </w:rPr>
              <w:t>Change Control Reference</w:t>
            </w:r>
          </w:p>
        </w:tc>
        <w:tc>
          <w:tcPr>
            <w:tcW w:w="1985" w:type="dxa"/>
          </w:tcPr>
          <w:p w14:paraId="55A8C680" w14:textId="77777777" w:rsidR="00F55C49" w:rsidRDefault="00F55C49" w:rsidP="00F55C49">
            <w:pPr>
              <w:spacing w:before="120" w:after="120"/>
              <w:jc w:val="center"/>
              <w:rPr>
                <w:b/>
                <w:bCs/>
                <w:szCs w:val="22"/>
              </w:rPr>
            </w:pPr>
            <w:r>
              <w:rPr>
                <w:b/>
                <w:bCs/>
                <w:szCs w:val="22"/>
              </w:rPr>
              <w:t>Sections Affected</w:t>
            </w:r>
          </w:p>
        </w:tc>
      </w:tr>
      <w:tr w:rsidR="00F55C49" w14:paraId="04BDF370" w14:textId="77777777" w:rsidTr="00F55C49">
        <w:tc>
          <w:tcPr>
            <w:tcW w:w="972" w:type="dxa"/>
          </w:tcPr>
          <w:p w14:paraId="4B36E971" w14:textId="77777777" w:rsidR="00F55C49" w:rsidRDefault="00F55C49" w:rsidP="00EE6AE0">
            <w:pPr>
              <w:spacing w:before="120" w:after="120"/>
              <w:jc w:val="center"/>
              <w:rPr>
                <w:bCs/>
                <w:szCs w:val="22"/>
              </w:rPr>
            </w:pPr>
            <w:r>
              <w:rPr>
                <w:bCs/>
                <w:szCs w:val="22"/>
              </w:rPr>
              <w:t>1.0</w:t>
            </w:r>
          </w:p>
        </w:tc>
        <w:tc>
          <w:tcPr>
            <w:tcW w:w="1263" w:type="dxa"/>
          </w:tcPr>
          <w:p w14:paraId="14A67DDA" w14:textId="77777777" w:rsidR="00F55C49" w:rsidRDefault="00F55C49" w:rsidP="00EE6AE0">
            <w:pPr>
              <w:spacing w:before="120" w:after="120"/>
              <w:jc w:val="center"/>
              <w:rPr>
                <w:bCs/>
                <w:szCs w:val="22"/>
              </w:rPr>
            </w:pPr>
            <w:r>
              <w:rPr>
                <w:bCs/>
                <w:szCs w:val="22"/>
              </w:rPr>
              <w:t>14/05/2007</w:t>
            </w:r>
          </w:p>
        </w:tc>
        <w:tc>
          <w:tcPr>
            <w:tcW w:w="2551" w:type="dxa"/>
          </w:tcPr>
          <w:p w14:paraId="5236D9F4" w14:textId="77777777" w:rsidR="00F55C49" w:rsidRDefault="0067484B" w:rsidP="002C65B3">
            <w:pPr>
              <w:spacing w:before="120" w:after="120"/>
              <w:rPr>
                <w:bCs/>
                <w:szCs w:val="22"/>
              </w:rPr>
            </w:pPr>
            <w:r>
              <w:rPr>
                <w:bCs/>
                <w:szCs w:val="22"/>
              </w:rPr>
              <w:t>First Issue</w:t>
            </w:r>
          </w:p>
        </w:tc>
        <w:tc>
          <w:tcPr>
            <w:tcW w:w="1559" w:type="dxa"/>
          </w:tcPr>
          <w:p w14:paraId="1D54439A" w14:textId="77777777" w:rsidR="00F55C49" w:rsidRDefault="00F55C49" w:rsidP="00EE6AE0">
            <w:pPr>
              <w:spacing w:before="120" w:after="120"/>
              <w:jc w:val="center"/>
              <w:rPr>
                <w:bCs/>
                <w:szCs w:val="22"/>
              </w:rPr>
            </w:pPr>
          </w:p>
        </w:tc>
        <w:tc>
          <w:tcPr>
            <w:tcW w:w="1985" w:type="dxa"/>
          </w:tcPr>
          <w:p w14:paraId="44B23C3E" w14:textId="77777777" w:rsidR="00F55C49" w:rsidRDefault="00F55C49" w:rsidP="00EE6AE0">
            <w:pPr>
              <w:spacing w:before="120" w:after="120"/>
              <w:jc w:val="center"/>
              <w:rPr>
                <w:bCs/>
                <w:szCs w:val="22"/>
              </w:rPr>
            </w:pPr>
          </w:p>
        </w:tc>
      </w:tr>
      <w:tr w:rsidR="00F55C49" w14:paraId="284ED7BD" w14:textId="77777777" w:rsidTr="00F55C49">
        <w:tc>
          <w:tcPr>
            <w:tcW w:w="972" w:type="dxa"/>
          </w:tcPr>
          <w:p w14:paraId="0630CC29" w14:textId="77777777" w:rsidR="00F55C49" w:rsidRDefault="00F55C49" w:rsidP="00EE6AE0">
            <w:pPr>
              <w:spacing w:before="120" w:after="120"/>
              <w:jc w:val="center"/>
              <w:rPr>
                <w:bCs/>
                <w:szCs w:val="22"/>
              </w:rPr>
            </w:pPr>
            <w:r>
              <w:rPr>
                <w:bCs/>
                <w:szCs w:val="22"/>
              </w:rPr>
              <w:t>1.1</w:t>
            </w:r>
          </w:p>
        </w:tc>
        <w:tc>
          <w:tcPr>
            <w:tcW w:w="1263" w:type="dxa"/>
          </w:tcPr>
          <w:p w14:paraId="1914E46A" w14:textId="77777777" w:rsidR="00F55C49" w:rsidRDefault="00F55C49" w:rsidP="00EE6AE0">
            <w:pPr>
              <w:spacing w:before="120" w:after="120"/>
              <w:jc w:val="center"/>
              <w:rPr>
                <w:bCs/>
                <w:szCs w:val="22"/>
              </w:rPr>
            </w:pPr>
            <w:r>
              <w:rPr>
                <w:bCs/>
                <w:szCs w:val="22"/>
              </w:rPr>
              <w:t>31/08/2007</w:t>
            </w:r>
          </w:p>
        </w:tc>
        <w:tc>
          <w:tcPr>
            <w:tcW w:w="2551" w:type="dxa"/>
          </w:tcPr>
          <w:p w14:paraId="518B6DBB" w14:textId="77777777" w:rsidR="00F55C49" w:rsidRPr="0067484B" w:rsidRDefault="0067484B" w:rsidP="002C65B3">
            <w:pPr>
              <w:spacing w:before="120" w:after="120"/>
              <w:rPr>
                <w:bCs/>
                <w:szCs w:val="22"/>
              </w:rPr>
            </w:pPr>
            <w:r w:rsidRPr="0067484B">
              <w:rPr>
                <w:bCs/>
                <w:szCs w:val="22"/>
              </w:rPr>
              <w:t>Alignment with Market Code section 5.3.6</w:t>
            </w:r>
          </w:p>
        </w:tc>
        <w:tc>
          <w:tcPr>
            <w:tcW w:w="1559" w:type="dxa"/>
          </w:tcPr>
          <w:p w14:paraId="6CFD73C0" w14:textId="77777777" w:rsidR="00F55C49" w:rsidRDefault="00F55C49" w:rsidP="00EE6AE0">
            <w:pPr>
              <w:spacing w:before="120" w:after="120"/>
              <w:jc w:val="center"/>
              <w:rPr>
                <w:bCs/>
                <w:szCs w:val="22"/>
              </w:rPr>
            </w:pPr>
          </w:p>
        </w:tc>
        <w:tc>
          <w:tcPr>
            <w:tcW w:w="1985" w:type="dxa"/>
          </w:tcPr>
          <w:p w14:paraId="524E7E44" w14:textId="77777777" w:rsidR="00F55C49" w:rsidRDefault="00F55C49" w:rsidP="00EE6AE0">
            <w:pPr>
              <w:spacing w:before="120" w:after="120"/>
              <w:jc w:val="center"/>
              <w:rPr>
                <w:bCs/>
                <w:szCs w:val="22"/>
              </w:rPr>
            </w:pPr>
          </w:p>
        </w:tc>
      </w:tr>
      <w:tr w:rsidR="002C65B3" w14:paraId="6C41B4D9" w14:textId="77777777" w:rsidTr="00F55C49">
        <w:tc>
          <w:tcPr>
            <w:tcW w:w="972" w:type="dxa"/>
          </w:tcPr>
          <w:p w14:paraId="73B729C0" w14:textId="77777777" w:rsidR="002C65B3" w:rsidRDefault="002C65B3" w:rsidP="004D6F5F">
            <w:pPr>
              <w:spacing w:before="120" w:after="120"/>
              <w:jc w:val="center"/>
              <w:rPr>
                <w:bCs/>
                <w:szCs w:val="22"/>
              </w:rPr>
            </w:pPr>
            <w:r>
              <w:rPr>
                <w:bCs/>
                <w:szCs w:val="22"/>
              </w:rPr>
              <w:t>1.1</w:t>
            </w:r>
            <w:r w:rsidR="004D6F5F">
              <w:rPr>
                <w:bCs/>
                <w:szCs w:val="22"/>
              </w:rPr>
              <w:t>a</w:t>
            </w:r>
          </w:p>
        </w:tc>
        <w:tc>
          <w:tcPr>
            <w:tcW w:w="1263" w:type="dxa"/>
          </w:tcPr>
          <w:p w14:paraId="54C99E83" w14:textId="77777777" w:rsidR="002C65B3" w:rsidRDefault="002C65B3" w:rsidP="00EE6AE0">
            <w:pPr>
              <w:spacing w:before="120" w:after="120"/>
              <w:jc w:val="center"/>
              <w:rPr>
                <w:bCs/>
                <w:szCs w:val="22"/>
              </w:rPr>
            </w:pPr>
            <w:r>
              <w:rPr>
                <w:bCs/>
                <w:szCs w:val="22"/>
              </w:rPr>
              <w:t>09/09/2009</w:t>
            </w:r>
          </w:p>
        </w:tc>
        <w:tc>
          <w:tcPr>
            <w:tcW w:w="2551" w:type="dxa"/>
          </w:tcPr>
          <w:p w14:paraId="55D2F9DB" w14:textId="77777777" w:rsidR="002C65B3" w:rsidRDefault="002C65B3" w:rsidP="002C65B3">
            <w:pPr>
              <w:spacing w:before="120" w:after="120"/>
              <w:rPr>
                <w:bCs/>
                <w:szCs w:val="22"/>
              </w:rPr>
            </w:pPr>
            <w:r>
              <w:rPr>
                <w:bCs/>
                <w:szCs w:val="22"/>
              </w:rPr>
              <w:t>Standardise layout of the first two pages</w:t>
            </w:r>
          </w:p>
        </w:tc>
        <w:tc>
          <w:tcPr>
            <w:tcW w:w="1559" w:type="dxa"/>
          </w:tcPr>
          <w:p w14:paraId="19C8207A" w14:textId="77777777" w:rsidR="002C65B3" w:rsidRDefault="002C65B3" w:rsidP="00EE6AE0">
            <w:pPr>
              <w:spacing w:before="120" w:after="120"/>
              <w:jc w:val="center"/>
              <w:rPr>
                <w:bCs/>
                <w:szCs w:val="22"/>
              </w:rPr>
            </w:pPr>
          </w:p>
        </w:tc>
        <w:tc>
          <w:tcPr>
            <w:tcW w:w="1985" w:type="dxa"/>
          </w:tcPr>
          <w:p w14:paraId="2D929A99" w14:textId="77777777" w:rsidR="002C65B3" w:rsidRDefault="002C65B3" w:rsidP="00EE6AE0">
            <w:pPr>
              <w:spacing w:before="120" w:after="120"/>
              <w:jc w:val="center"/>
              <w:rPr>
                <w:bCs/>
                <w:szCs w:val="22"/>
              </w:rPr>
            </w:pPr>
            <w:r>
              <w:rPr>
                <w:bCs/>
                <w:szCs w:val="22"/>
              </w:rPr>
              <w:t>Pages 1 and 2</w:t>
            </w:r>
          </w:p>
        </w:tc>
      </w:tr>
      <w:tr w:rsidR="00CF4CF4" w14:paraId="2F517FD6" w14:textId="77777777" w:rsidTr="00F55C49">
        <w:tc>
          <w:tcPr>
            <w:tcW w:w="972" w:type="dxa"/>
          </w:tcPr>
          <w:p w14:paraId="2FC3DDCC" w14:textId="77777777" w:rsidR="00CF4CF4" w:rsidRDefault="00CF4CF4" w:rsidP="004D6F5F">
            <w:pPr>
              <w:spacing w:before="120" w:after="120"/>
              <w:jc w:val="center"/>
              <w:rPr>
                <w:bCs/>
                <w:szCs w:val="22"/>
              </w:rPr>
            </w:pPr>
            <w:r>
              <w:rPr>
                <w:bCs/>
                <w:szCs w:val="22"/>
              </w:rPr>
              <w:t>1.2</w:t>
            </w:r>
          </w:p>
        </w:tc>
        <w:tc>
          <w:tcPr>
            <w:tcW w:w="1263" w:type="dxa"/>
          </w:tcPr>
          <w:p w14:paraId="0820A36B" w14:textId="77777777" w:rsidR="00CF4CF4" w:rsidRDefault="00CF4CF4" w:rsidP="00EE6AE0">
            <w:pPr>
              <w:spacing w:before="120" w:after="120"/>
              <w:jc w:val="center"/>
              <w:rPr>
                <w:bCs/>
                <w:szCs w:val="22"/>
              </w:rPr>
            </w:pPr>
            <w:r>
              <w:rPr>
                <w:bCs/>
                <w:szCs w:val="22"/>
              </w:rPr>
              <w:t>27/09/2010</w:t>
            </w:r>
          </w:p>
        </w:tc>
        <w:tc>
          <w:tcPr>
            <w:tcW w:w="2551" w:type="dxa"/>
          </w:tcPr>
          <w:p w14:paraId="6729FE36" w14:textId="77777777" w:rsidR="00CF4CF4" w:rsidRDefault="00872452" w:rsidP="002C65B3">
            <w:pPr>
              <w:spacing w:before="120" w:after="120"/>
              <w:rPr>
                <w:bCs/>
                <w:szCs w:val="22"/>
              </w:rPr>
            </w:pPr>
            <w:r>
              <w:rPr>
                <w:sz w:val="18"/>
              </w:rPr>
              <w:t>POLR Process</w:t>
            </w:r>
          </w:p>
          <w:p w14:paraId="510A3C40" w14:textId="77777777" w:rsidR="00872452" w:rsidRDefault="00872452" w:rsidP="002C65B3">
            <w:pPr>
              <w:spacing w:before="120" w:after="120"/>
              <w:rPr>
                <w:bCs/>
                <w:szCs w:val="22"/>
              </w:rPr>
            </w:pPr>
            <w:r>
              <w:rPr>
                <w:sz w:val="18"/>
              </w:rPr>
              <w:t>Removal of T031 Transaction</w:t>
            </w:r>
          </w:p>
        </w:tc>
        <w:tc>
          <w:tcPr>
            <w:tcW w:w="1559" w:type="dxa"/>
          </w:tcPr>
          <w:p w14:paraId="10B64CE7" w14:textId="77777777" w:rsidR="00C7628E" w:rsidRPr="00C7628E" w:rsidRDefault="00C7628E" w:rsidP="00C7628E">
            <w:pPr>
              <w:spacing w:before="120" w:after="120"/>
              <w:rPr>
                <w:sz w:val="18"/>
              </w:rPr>
            </w:pPr>
            <w:r>
              <w:rPr>
                <w:bCs/>
                <w:szCs w:val="22"/>
              </w:rPr>
              <w:t xml:space="preserve"> </w:t>
            </w:r>
            <w:r w:rsidRPr="00C7628E">
              <w:rPr>
                <w:sz w:val="18"/>
              </w:rPr>
              <w:t>MCCP054</w:t>
            </w:r>
          </w:p>
          <w:p w14:paraId="3CB0F1BD" w14:textId="77777777" w:rsidR="00CF4CF4" w:rsidRDefault="00C7628E" w:rsidP="00C7628E">
            <w:pPr>
              <w:spacing w:before="120" w:after="120"/>
              <w:rPr>
                <w:bCs/>
                <w:szCs w:val="22"/>
              </w:rPr>
            </w:pPr>
            <w:r w:rsidRPr="00C7628E">
              <w:rPr>
                <w:sz w:val="18"/>
              </w:rPr>
              <w:t>MCCP057</w:t>
            </w:r>
          </w:p>
        </w:tc>
        <w:tc>
          <w:tcPr>
            <w:tcW w:w="1985" w:type="dxa"/>
          </w:tcPr>
          <w:p w14:paraId="6B36C5DC" w14:textId="77777777" w:rsidR="00CF4CF4" w:rsidRDefault="00B303CA" w:rsidP="00EE6AE0">
            <w:pPr>
              <w:spacing w:before="120" w:after="120"/>
              <w:jc w:val="center"/>
              <w:rPr>
                <w:bCs/>
                <w:szCs w:val="22"/>
              </w:rPr>
            </w:pPr>
            <w:r>
              <w:rPr>
                <w:sz w:val="18"/>
              </w:rPr>
              <w:t>Section 3.1</w:t>
            </w:r>
          </w:p>
        </w:tc>
      </w:tr>
      <w:tr w:rsidR="003E1615" w14:paraId="722C9C1F" w14:textId="77777777" w:rsidTr="00F55C49">
        <w:tc>
          <w:tcPr>
            <w:tcW w:w="972" w:type="dxa"/>
          </w:tcPr>
          <w:p w14:paraId="64A1F268" w14:textId="77777777" w:rsidR="003E1615" w:rsidRDefault="003E1615" w:rsidP="007A7CB5">
            <w:pPr>
              <w:spacing w:before="120" w:after="120"/>
              <w:jc w:val="center"/>
              <w:rPr>
                <w:bCs/>
                <w:szCs w:val="22"/>
              </w:rPr>
            </w:pPr>
            <w:r>
              <w:rPr>
                <w:bCs/>
                <w:szCs w:val="22"/>
              </w:rPr>
              <w:t>1.3</w:t>
            </w:r>
            <w:r w:rsidR="00C63E8C">
              <w:rPr>
                <w:bCs/>
                <w:szCs w:val="22"/>
              </w:rPr>
              <w:t>(</w:t>
            </w:r>
            <w:r w:rsidR="007A7CB5">
              <w:rPr>
                <w:bCs/>
                <w:szCs w:val="22"/>
              </w:rPr>
              <w:t>b</w:t>
            </w:r>
            <w:r w:rsidR="00C63E8C">
              <w:rPr>
                <w:bCs/>
                <w:szCs w:val="22"/>
              </w:rPr>
              <w:t>)</w:t>
            </w:r>
          </w:p>
        </w:tc>
        <w:tc>
          <w:tcPr>
            <w:tcW w:w="1263" w:type="dxa"/>
          </w:tcPr>
          <w:p w14:paraId="33DD6C6E" w14:textId="77777777" w:rsidR="003E1615" w:rsidRDefault="007374E5" w:rsidP="003E1615">
            <w:pPr>
              <w:spacing w:before="120" w:after="120"/>
              <w:jc w:val="center"/>
              <w:rPr>
                <w:bCs/>
                <w:szCs w:val="22"/>
              </w:rPr>
            </w:pPr>
            <w:r>
              <w:rPr>
                <w:bCs/>
                <w:szCs w:val="22"/>
              </w:rPr>
              <w:t>14/11/2011</w:t>
            </w:r>
          </w:p>
        </w:tc>
        <w:tc>
          <w:tcPr>
            <w:tcW w:w="2551" w:type="dxa"/>
          </w:tcPr>
          <w:p w14:paraId="509579F9" w14:textId="77777777" w:rsidR="003E1615" w:rsidRDefault="003E1615" w:rsidP="00744E85">
            <w:pPr>
              <w:spacing w:before="120" w:after="120"/>
              <w:rPr>
                <w:sz w:val="18"/>
              </w:rPr>
            </w:pPr>
            <w:r>
              <w:rPr>
                <w:sz w:val="18"/>
              </w:rPr>
              <w:t xml:space="preserve">POLR </w:t>
            </w:r>
            <w:r w:rsidRPr="00F83855">
              <w:rPr>
                <w:sz w:val="18"/>
              </w:rPr>
              <w:t xml:space="preserve">Process – </w:t>
            </w:r>
            <w:r w:rsidR="00F83855" w:rsidRPr="00F83855">
              <w:rPr>
                <w:bCs/>
                <w:szCs w:val="22"/>
              </w:rPr>
              <w:t>Addition of Metered Building Water (T033.</w:t>
            </w:r>
            <w:r w:rsidR="00744E85">
              <w:rPr>
                <w:bCs/>
                <w:szCs w:val="22"/>
              </w:rPr>
              <w:t>1</w:t>
            </w:r>
            <w:r w:rsidR="00F83855" w:rsidRPr="00F83855">
              <w:rPr>
                <w:bCs/>
                <w:szCs w:val="22"/>
              </w:rPr>
              <w:t>)</w:t>
            </w:r>
          </w:p>
        </w:tc>
        <w:tc>
          <w:tcPr>
            <w:tcW w:w="1559" w:type="dxa"/>
          </w:tcPr>
          <w:p w14:paraId="11752046" w14:textId="77777777" w:rsidR="003E1615" w:rsidRDefault="003E1615" w:rsidP="00C7628E">
            <w:pPr>
              <w:spacing w:before="120" w:after="120"/>
              <w:rPr>
                <w:bCs/>
                <w:szCs w:val="22"/>
              </w:rPr>
            </w:pPr>
            <w:r>
              <w:rPr>
                <w:bCs/>
                <w:szCs w:val="22"/>
              </w:rPr>
              <w:t>MCCP081-CC</w:t>
            </w:r>
          </w:p>
        </w:tc>
        <w:tc>
          <w:tcPr>
            <w:tcW w:w="1985" w:type="dxa"/>
          </w:tcPr>
          <w:p w14:paraId="5563D699" w14:textId="77777777" w:rsidR="003E1615" w:rsidRDefault="003E1615" w:rsidP="00EE6AE0">
            <w:pPr>
              <w:spacing w:before="120" w:after="120"/>
              <w:jc w:val="center"/>
              <w:rPr>
                <w:sz w:val="18"/>
              </w:rPr>
            </w:pPr>
            <w:r>
              <w:rPr>
                <w:sz w:val="18"/>
              </w:rPr>
              <w:t>Section 3.1</w:t>
            </w:r>
          </w:p>
        </w:tc>
      </w:tr>
      <w:tr w:rsidR="00CB32C2" w14:paraId="13E015F7" w14:textId="77777777" w:rsidTr="00A5152D">
        <w:tc>
          <w:tcPr>
            <w:tcW w:w="972" w:type="dxa"/>
          </w:tcPr>
          <w:p w14:paraId="346E4AB9" w14:textId="77777777" w:rsidR="00CB32C2" w:rsidRDefault="00CB32C2" w:rsidP="007A7CB5">
            <w:pPr>
              <w:spacing w:before="120" w:after="120"/>
              <w:jc w:val="center"/>
              <w:rPr>
                <w:bCs/>
                <w:szCs w:val="22"/>
              </w:rPr>
            </w:pPr>
            <w:r>
              <w:rPr>
                <w:bCs/>
                <w:szCs w:val="22"/>
              </w:rPr>
              <w:t>1.4</w:t>
            </w:r>
          </w:p>
        </w:tc>
        <w:tc>
          <w:tcPr>
            <w:tcW w:w="1263" w:type="dxa"/>
          </w:tcPr>
          <w:p w14:paraId="06355F9F" w14:textId="77777777" w:rsidR="00CB32C2" w:rsidRDefault="00CB32C2" w:rsidP="003E1615">
            <w:pPr>
              <w:spacing w:before="120" w:after="120"/>
              <w:jc w:val="center"/>
              <w:rPr>
                <w:bCs/>
                <w:szCs w:val="22"/>
              </w:rPr>
            </w:pPr>
            <w:r>
              <w:rPr>
                <w:bCs/>
                <w:szCs w:val="22"/>
              </w:rPr>
              <w:t>1/03/2012</w:t>
            </w:r>
          </w:p>
        </w:tc>
        <w:tc>
          <w:tcPr>
            <w:tcW w:w="2551" w:type="dxa"/>
            <w:vAlign w:val="center"/>
          </w:tcPr>
          <w:p w14:paraId="48A20405" w14:textId="77777777" w:rsidR="00CB32C2" w:rsidRDefault="00CB32C2" w:rsidP="00744E85">
            <w:pPr>
              <w:spacing w:before="120" w:after="120"/>
              <w:rPr>
                <w:sz w:val="18"/>
              </w:rPr>
            </w:pPr>
            <w:r>
              <w:rPr>
                <w:bCs/>
                <w:szCs w:val="22"/>
              </w:rPr>
              <w:t>Opt out for POLR</w:t>
            </w:r>
          </w:p>
        </w:tc>
        <w:tc>
          <w:tcPr>
            <w:tcW w:w="1559" w:type="dxa"/>
            <w:vAlign w:val="center"/>
          </w:tcPr>
          <w:p w14:paraId="0A810292" w14:textId="77777777" w:rsidR="00CB32C2" w:rsidRDefault="00CB32C2" w:rsidP="00C7628E">
            <w:pPr>
              <w:spacing w:before="120" w:after="120"/>
              <w:rPr>
                <w:bCs/>
                <w:szCs w:val="22"/>
              </w:rPr>
            </w:pPr>
            <w:r>
              <w:rPr>
                <w:bCs/>
                <w:szCs w:val="22"/>
              </w:rPr>
              <w:t>MCCP099-CC</w:t>
            </w:r>
          </w:p>
        </w:tc>
        <w:tc>
          <w:tcPr>
            <w:tcW w:w="1985" w:type="dxa"/>
          </w:tcPr>
          <w:p w14:paraId="124C4AD9" w14:textId="77777777" w:rsidR="00CB32C2" w:rsidRDefault="00CB32C2" w:rsidP="00EE6AE0">
            <w:pPr>
              <w:spacing w:before="120" w:after="120"/>
              <w:jc w:val="center"/>
              <w:rPr>
                <w:sz w:val="18"/>
              </w:rPr>
            </w:pPr>
            <w:r>
              <w:rPr>
                <w:sz w:val="18"/>
              </w:rPr>
              <w:t>Section 2.1</w:t>
            </w:r>
          </w:p>
        </w:tc>
      </w:tr>
      <w:tr w:rsidR="00C238ED" w14:paraId="6E7020DF" w14:textId="77777777" w:rsidTr="00A5152D">
        <w:tc>
          <w:tcPr>
            <w:tcW w:w="972" w:type="dxa"/>
          </w:tcPr>
          <w:p w14:paraId="16B761E0" w14:textId="77777777" w:rsidR="00C238ED" w:rsidRDefault="00C238ED" w:rsidP="007A7CB5">
            <w:pPr>
              <w:spacing w:before="120" w:after="120"/>
              <w:jc w:val="center"/>
              <w:rPr>
                <w:bCs/>
                <w:szCs w:val="22"/>
              </w:rPr>
            </w:pPr>
            <w:r>
              <w:rPr>
                <w:bCs/>
                <w:szCs w:val="22"/>
              </w:rPr>
              <w:t>2.0</w:t>
            </w:r>
          </w:p>
        </w:tc>
        <w:tc>
          <w:tcPr>
            <w:tcW w:w="1263" w:type="dxa"/>
          </w:tcPr>
          <w:p w14:paraId="14328A3F" w14:textId="77777777" w:rsidR="00C238ED" w:rsidRDefault="00C238ED" w:rsidP="00D07715">
            <w:pPr>
              <w:spacing w:before="120" w:after="120"/>
              <w:jc w:val="center"/>
              <w:rPr>
                <w:bCs/>
                <w:szCs w:val="22"/>
              </w:rPr>
            </w:pPr>
            <w:r>
              <w:rPr>
                <w:bCs/>
                <w:szCs w:val="22"/>
              </w:rPr>
              <w:t>2014-03-</w:t>
            </w:r>
            <w:r w:rsidR="00AC539E">
              <w:rPr>
                <w:bCs/>
                <w:szCs w:val="22"/>
              </w:rPr>
              <w:t>2</w:t>
            </w:r>
            <w:r w:rsidR="00D07715">
              <w:rPr>
                <w:bCs/>
                <w:szCs w:val="22"/>
              </w:rPr>
              <w:t>1</w:t>
            </w:r>
          </w:p>
        </w:tc>
        <w:tc>
          <w:tcPr>
            <w:tcW w:w="2551" w:type="dxa"/>
            <w:vAlign w:val="center"/>
          </w:tcPr>
          <w:p w14:paraId="71EE4B61" w14:textId="77777777" w:rsidR="00C238ED" w:rsidRDefault="00E25CEE" w:rsidP="00744E85">
            <w:pPr>
              <w:spacing w:before="120" w:after="120"/>
              <w:rPr>
                <w:bCs/>
                <w:szCs w:val="22"/>
              </w:rPr>
            </w:pPr>
            <w:r>
              <w:rPr>
                <w:bCs/>
                <w:szCs w:val="22"/>
              </w:rPr>
              <w:t>Meter Network Notifications</w:t>
            </w:r>
          </w:p>
        </w:tc>
        <w:tc>
          <w:tcPr>
            <w:tcW w:w="1559" w:type="dxa"/>
            <w:vAlign w:val="center"/>
          </w:tcPr>
          <w:p w14:paraId="5DCEC6CA" w14:textId="77777777" w:rsidR="00C238ED" w:rsidRDefault="00C238ED" w:rsidP="00E25CEE">
            <w:pPr>
              <w:spacing w:before="120" w:after="120"/>
              <w:rPr>
                <w:bCs/>
                <w:szCs w:val="22"/>
              </w:rPr>
            </w:pPr>
            <w:r>
              <w:rPr>
                <w:bCs/>
                <w:szCs w:val="22"/>
              </w:rPr>
              <w:t>MCCP1</w:t>
            </w:r>
            <w:r w:rsidR="00E25CEE">
              <w:rPr>
                <w:bCs/>
                <w:szCs w:val="22"/>
              </w:rPr>
              <w:t>2</w:t>
            </w:r>
            <w:r>
              <w:rPr>
                <w:bCs/>
                <w:szCs w:val="22"/>
              </w:rPr>
              <w:t>8</w:t>
            </w:r>
          </w:p>
        </w:tc>
        <w:tc>
          <w:tcPr>
            <w:tcW w:w="1985" w:type="dxa"/>
          </w:tcPr>
          <w:p w14:paraId="60AD2BA4" w14:textId="77777777" w:rsidR="00C238ED" w:rsidRDefault="00AC539E" w:rsidP="00EE6AE0">
            <w:pPr>
              <w:spacing w:before="120" w:after="120"/>
              <w:jc w:val="center"/>
              <w:rPr>
                <w:sz w:val="18"/>
              </w:rPr>
            </w:pPr>
            <w:r>
              <w:rPr>
                <w:sz w:val="18"/>
              </w:rPr>
              <w:t>Section 3.1</w:t>
            </w:r>
          </w:p>
        </w:tc>
      </w:tr>
      <w:tr w:rsidR="00351F40" w14:paraId="2993E219" w14:textId="77777777" w:rsidTr="00A5152D">
        <w:tc>
          <w:tcPr>
            <w:tcW w:w="972" w:type="dxa"/>
          </w:tcPr>
          <w:p w14:paraId="5EA9F33C" w14:textId="77777777" w:rsidR="00351F40" w:rsidRDefault="00351F40" w:rsidP="007A7CB5">
            <w:pPr>
              <w:spacing w:before="120" w:after="120"/>
              <w:jc w:val="center"/>
              <w:rPr>
                <w:bCs/>
                <w:szCs w:val="22"/>
              </w:rPr>
            </w:pPr>
            <w:r>
              <w:rPr>
                <w:bCs/>
                <w:szCs w:val="22"/>
              </w:rPr>
              <w:t>3.0</w:t>
            </w:r>
          </w:p>
        </w:tc>
        <w:tc>
          <w:tcPr>
            <w:tcW w:w="1263" w:type="dxa"/>
          </w:tcPr>
          <w:p w14:paraId="38E5381D" w14:textId="77777777" w:rsidR="00351F40" w:rsidRDefault="00351F40" w:rsidP="00295AE3">
            <w:pPr>
              <w:spacing w:before="120" w:after="120"/>
              <w:jc w:val="center"/>
              <w:rPr>
                <w:bCs/>
                <w:szCs w:val="22"/>
              </w:rPr>
            </w:pPr>
            <w:r>
              <w:rPr>
                <w:bCs/>
                <w:szCs w:val="22"/>
              </w:rPr>
              <w:t>2014-09-</w:t>
            </w:r>
            <w:r w:rsidR="00295AE3">
              <w:rPr>
                <w:bCs/>
                <w:szCs w:val="22"/>
              </w:rPr>
              <w:t>2</w:t>
            </w:r>
            <w:r>
              <w:rPr>
                <w:bCs/>
                <w:szCs w:val="22"/>
              </w:rPr>
              <w:t>1</w:t>
            </w:r>
          </w:p>
        </w:tc>
        <w:tc>
          <w:tcPr>
            <w:tcW w:w="2551" w:type="dxa"/>
            <w:vAlign w:val="center"/>
          </w:tcPr>
          <w:p w14:paraId="4CA678EA" w14:textId="77777777" w:rsidR="00351F40" w:rsidRDefault="00351F40" w:rsidP="00744E85">
            <w:pPr>
              <w:spacing w:before="120" w:after="120"/>
              <w:rPr>
                <w:bCs/>
                <w:szCs w:val="22"/>
              </w:rPr>
            </w:pPr>
            <w:r>
              <w:rPr>
                <w:bCs/>
                <w:szCs w:val="22"/>
              </w:rPr>
              <w:t>Automation of POLR</w:t>
            </w:r>
          </w:p>
        </w:tc>
        <w:tc>
          <w:tcPr>
            <w:tcW w:w="1559" w:type="dxa"/>
            <w:vAlign w:val="center"/>
          </w:tcPr>
          <w:p w14:paraId="297994AE" w14:textId="77777777" w:rsidR="00351F40" w:rsidRDefault="00351F40" w:rsidP="00E25CEE">
            <w:pPr>
              <w:spacing w:before="120" w:after="120"/>
              <w:rPr>
                <w:bCs/>
                <w:szCs w:val="22"/>
              </w:rPr>
            </w:pPr>
            <w:r>
              <w:rPr>
                <w:bCs/>
                <w:szCs w:val="22"/>
              </w:rPr>
              <w:t>MCCP124</w:t>
            </w:r>
          </w:p>
          <w:p w14:paraId="3849B1BA" w14:textId="77777777" w:rsidR="00351F40" w:rsidRDefault="00351F40" w:rsidP="00E25CEE">
            <w:pPr>
              <w:spacing w:before="120" w:after="120"/>
              <w:rPr>
                <w:bCs/>
                <w:szCs w:val="22"/>
              </w:rPr>
            </w:pPr>
            <w:r>
              <w:rPr>
                <w:bCs/>
                <w:szCs w:val="22"/>
              </w:rPr>
              <w:t>MCCP154-CC</w:t>
            </w:r>
          </w:p>
        </w:tc>
        <w:tc>
          <w:tcPr>
            <w:tcW w:w="1985" w:type="dxa"/>
          </w:tcPr>
          <w:p w14:paraId="7E33F03A" w14:textId="77777777" w:rsidR="00351F40" w:rsidRDefault="00351F40" w:rsidP="00EE6AE0">
            <w:pPr>
              <w:spacing w:before="120" w:after="120"/>
              <w:jc w:val="center"/>
              <w:rPr>
                <w:sz w:val="18"/>
              </w:rPr>
            </w:pPr>
          </w:p>
        </w:tc>
      </w:tr>
      <w:tr w:rsidR="000068CA" w14:paraId="0E5BAF99" w14:textId="77777777" w:rsidTr="00A5152D">
        <w:tc>
          <w:tcPr>
            <w:tcW w:w="972" w:type="dxa"/>
          </w:tcPr>
          <w:p w14:paraId="2955AAD5" w14:textId="77777777" w:rsidR="000068CA" w:rsidRDefault="000068CA" w:rsidP="007A7CB5">
            <w:pPr>
              <w:spacing w:before="120" w:after="120"/>
              <w:jc w:val="center"/>
              <w:rPr>
                <w:bCs/>
                <w:szCs w:val="22"/>
              </w:rPr>
            </w:pPr>
            <w:r>
              <w:rPr>
                <w:bCs/>
                <w:szCs w:val="22"/>
              </w:rPr>
              <w:t>4.0</w:t>
            </w:r>
          </w:p>
        </w:tc>
        <w:tc>
          <w:tcPr>
            <w:tcW w:w="1263" w:type="dxa"/>
          </w:tcPr>
          <w:p w14:paraId="5687675F" w14:textId="77777777" w:rsidR="000068CA" w:rsidRDefault="000068CA" w:rsidP="00295AE3">
            <w:pPr>
              <w:spacing w:before="120" w:after="120"/>
              <w:jc w:val="center"/>
              <w:rPr>
                <w:bCs/>
                <w:szCs w:val="22"/>
              </w:rPr>
            </w:pPr>
            <w:r>
              <w:rPr>
                <w:bCs/>
                <w:szCs w:val="22"/>
              </w:rPr>
              <w:t>2016-05-05</w:t>
            </w:r>
          </w:p>
        </w:tc>
        <w:tc>
          <w:tcPr>
            <w:tcW w:w="2551" w:type="dxa"/>
            <w:vAlign w:val="center"/>
          </w:tcPr>
          <w:p w14:paraId="239597FB" w14:textId="77777777" w:rsidR="000068CA" w:rsidRDefault="000068CA" w:rsidP="000068CA">
            <w:pPr>
              <w:spacing w:before="120" w:after="120"/>
              <w:rPr>
                <w:bCs/>
                <w:szCs w:val="22"/>
              </w:rPr>
            </w:pPr>
            <w:r>
              <w:rPr>
                <w:bCs/>
                <w:szCs w:val="22"/>
              </w:rPr>
              <w:t>Retrospective POLR</w:t>
            </w:r>
          </w:p>
        </w:tc>
        <w:tc>
          <w:tcPr>
            <w:tcW w:w="1559" w:type="dxa"/>
            <w:vAlign w:val="center"/>
          </w:tcPr>
          <w:p w14:paraId="3CF44450" w14:textId="77777777" w:rsidR="000068CA" w:rsidRDefault="000068CA" w:rsidP="00E25CEE">
            <w:pPr>
              <w:spacing w:before="120" w:after="120"/>
              <w:rPr>
                <w:bCs/>
                <w:szCs w:val="22"/>
              </w:rPr>
            </w:pPr>
            <w:r>
              <w:rPr>
                <w:bCs/>
                <w:szCs w:val="22"/>
              </w:rPr>
              <w:t>MCCP192</w:t>
            </w:r>
          </w:p>
        </w:tc>
        <w:tc>
          <w:tcPr>
            <w:tcW w:w="1985" w:type="dxa"/>
          </w:tcPr>
          <w:p w14:paraId="01ED7986" w14:textId="77777777" w:rsidR="000068CA" w:rsidRDefault="000068CA" w:rsidP="00EE6AE0">
            <w:pPr>
              <w:spacing w:before="120" w:after="120"/>
              <w:jc w:val="center"/>
              <w:rPr>
                <w:sz w:val="18"/>
              </w:rPr>
            </w:pPr>
            <w:r>
              <w:rPr>
                <w:sz w:val="18"/>
              </w:rPr>
              <w:t>Section 3</w:t>
            </w:r>
          </w:p>
        </w:tc>
      </w:tr>
      <w:tr w:rsidR="00EC364D" w14:paraId="75962DE7" w14:textId="77777777" w:rsidTr="00A5152D">
        <w:tc>
          <w:tcPr>
            <w:tcW w:w="972" w:type="dxa"/>
          </w:tcPr>
          <w:p w14:paraId="6A01AE60" w14:textId="573EC8E0" w:rsidR="00EC364D" w:rsidRDefault="001E6D20" w:rsidP="007A7CB5">
            <w:pPr>
              <w:spacing w:before="120" w:after="120"/>
              <w:jc w:val="center"/>
              <w:rPr>
                <w:bCs/>
                <w:szCs w:val="22"/>
              </w:rPr>
            </w:pPr>
            <w:r>
              <w:rPr>
                <w:bCs/>
                <w:szCs w:val="22"/>
              </w:rPr>
              <w:t>5.0</w:t>
            </w:r>
          </w:p>
        </w:tc>
        <w:tc>
          <w:tcPr>
            <w:tcW w:w="1263" w:type="dxa"/>
          </w:tcPr>
          <w:p w14:paraId="5D8B7B67" w14:textId="720BC809" w:rsidR="00EC364D" w:rsidRDefault="00EC364D" w:rsidP="00295AE3">
            <w:pPr>
              <w:spacing w:before="120" w:after="120"/>
              <w:jc w:val="center"/>
              <w:rPr>
                <w:bCs/>
                <w:szCs w:val="22"/>
              </w:rPr>
            </w:pPr>
            <w:r>
              <w:rPr>
                <w:bCs/>
                <w:szCs w:val="22"/>
              </w:rPr>
              <w:t>2019-</w:t>
            </w:r>
            <w:r w:rsidR="008E2CD2">
              <w:rPr>
                <w:bCs/>
                <w:szCs w:val="22"/>
              </w:rPr>
              <w:t>1</w:t>
            </w:r>
            <w:r>
              <w:rPr>
                <w:bCs/>
                <w:szCs w:val="22"/>
              </w:rPr>
              <w:t>0-</w:t>
            </w:r>
            <w:r w:rsidR="008E2CD2">
              <w:rPr>
                <w:bCs/>
                <w:szCs w:val="22"/>
              </w:rPr>
              <w:t>24</w:t>
            </w:r>
          </w:p>
        </w:tc>
        <w:tc>
          <w:tcPr>
            <w:tcW w:w="2551" w:type="dxa"/>
            <w:vAlign w:val="center"/>
          </w:tcPr>
          <w:p w14:paraId="4B0A1926" w14:textId="0273A740" w:rsidR="00EC364D" w:rsidRDefault="00C20731" w:rsidP="000068CA">
            <w:pPr>
              <w:spacing w:before="120" w:after="120"/>
              <w:rPr>
                <w:bCs/>
                <w:szCs w:val="22"/>
              </w:rPr>
            </w:pPr>
            <w:r>
              <w:rPr>
                <w:bCs/>
                <w:szCs w:val="22"/>
              </w:rPr>
              <w:t>Transaction name updates</w:t>
            </w:r>
          </w:p>
        </w:tc>
        <w:tc>
          <w:tcPr>
            <w:tcW w:w="1559" w:type="dxa"/>
            <w:vAlign w:val="center"/>
          </w:tcPr>
          <w:p w14:paraId="5D73B4DF" w14:textId="7FB15008" w:rsidR="00EC364D" w:rsidRDefault="00C20731" w:rsidP="00E25CEE">
            <w:pPr>
              <w:spacing w:before="120" w:after="120"/>
              <w:rPr>
                <w:bCs/>
                <w:szCs w:val="22"/>
              </w:rPr>
            </w:pPr>
            <w:r>
              <w:rPr>
                <w:bCs/>
                <w:szCs w:val="22"/>
              </w:rPr>
              <w:t>MCCP242</w:t>
            </w:r>
          </w:p>
        </w:tc>
        <w:tc>
          <w:tcPr>
            <w:tcW w:w="1985" w:type="dxa"/>
          </w:tcPr>
          <w:p w14:paraId="3AEEC8B2" w14:textId="1D581275" w:rsidR="00EC364D" w:rsidRDefault="002A3499" w:rsidP="00EE6AE0">
            <w:pPr>
              <w:spacing w:before="120" w:after="120"/>
              <w:jc w:val="center"/>
              <w:rPr>
                <w:sz w:val="18"/>
              </w:rPr>
            </w:pPr>
            <w:r>
              <w:rPr>
                <w:sz w:val="18"/>
              </w:rPr>
              <w:t>Various</w:t>
            </w:r>
          </w:p>
        </w:tc>
      </w:tr>
      <w:tr w:rsidR="009307A7" w14:paraId="29171E22" w14:textId="77777777" w:rsidTr="00A5152D">
        <w:tc>
          <w:tcPr>
            <w:tcW w:w="972" w:type="dxa"/>
          </w:tcPr>
          <w:p w14:paraId="60BE9E22" w14:textId="01778460" w:rsidR="009307A7" w:rsidRDefault="009307A7" w:rsidP="007A7CB5">
            <w:pPr>
              <w:spacing w:before="120" w:after="120"/>
              <w:jc w:val="center"/>
              <w:rPr>
                <w:bCs/>
                <w:szCs w:val="22"/>
              </w:rPr>
            </w:pPr>
            <w:r>
              <w:rPr>
                <w:bCs/>
                <w:szCs w:val="22"/>
              </w:rPr>
              <w:t>6.0</w:t>
            </w:r>
          </w:p>
        </w:tc>
        <w:tc>
          <w:tcPr>
            <w:tcW w:w="1263" w:type="dxa"/>
          </w:tcPr>
          <w:p w14:paraId="0BC55918" w14:textId="1F4C0D87" w:rsidR="009307A7" w:rsidRDefault="009307A7" w:rsidP="00295AE3">
            <w:pPr>
              <w:spacing w:before="120" w:after="120"/>
              <w:jc w:val="center"/>
              <w:rPr>
                <w:bCs/>
                <w:szCs w:val="22"/>
              </w:rPr>
            </w:pPr>
            <w:r>
              <w:rPr>
                <w:bCs/>
                <w:szCs w:val="22"/>
              </w:rPr>
              <w:t>2025-08-</w:t>
            </w:r>
            <w:r w:rsidR="00BC054F">
              <w:rPr>
                <w:bCs/>
                <w:szCs w:val="22"/>
              </w:rPr>
              <w:t>01</w:t>
            </w:r>
          </w:p>
        </w:tc>
        <w:tc>
          <w:tcPr>
            <w:tcW w:w="2551" w:type="dxa"/>
            <w:vAlign w:val="center"/>
          </w:tcPr>
          <w:p w14:paraId="2CF79FEC" w14:textId="7AD11939" w:rsidR="009307A7" w:rsidRDefault="00BC054F" w:rsidP="000068CA">
            <w:pPr>
              <w:spacing w:before="120" w:after="120"/>
              <w:rPr>
                <w:bCs/>
                <w:szCs w:val="22"/>
              </w:rPr>
            </w:pPr>
            <w:r>
              <w:rPr>
                <w:bCs/>
                <w:szCs w:val="22"/>
              </w:rPr>
              <w:t>Addition of Customer Data Report</w:t>
            </w:r>
          </w:p>
        </w:tc>
        <w:tc>
          <w:tcPr>
            <w:tcW w:w="1559" w:type="dxa"/>
            <w:vAlign w:val="center"/>
          </w:tcPr>
          <w:p w14:paraId="32BEEF09" w14:textId="4BF63A6B" w:rsidR="009307A7" w:rsidRDefault="00BC054F" w:rsidP="00E25CEE">
            <w:pPr>
              <w:spacing w:before="120" w:after="120"/>
              <w:rPr>
                <w:bCs/>
                <w:szCs w:val="22"/>
              </w:rPr>
            </w:pPr>
            <w:r>
              <w:rPr>
                <w:bCs/>
                <w:szCs w:val="22"/>
              </w:rPr>
              <w:t>MCCP312</w:t>
            </w:r>
          </w:p>
        </w:tc>
        <w:tc>
          <w:tcPr>
            <w:tcW w:w="1985" w:type="dxa"/>
          </w:tcPr>
          <w:p w14:paraId="61E4FEFD" w14:textId="063F3F01" w:rsidR="009307A7" w:rsidRDefault="00BC054F" w:rsidP="00EE6AE0">
            <w:pPr>
              <w:spacing w:before="120" w:after="120"/>
              <w:jc w:val="center"/>
              <w:rPr>
                <w:sz w:val="18"/>
              </w:rPr>
            </w:pPr>
            <w:r>
              <w:rPr>
                <w:sz w:val="18"/>
              </w:rPr>
              <w:t>Section 4</w:t>
            </w:r>
          </w:p>
        </w:tc>
      </w:tr>
    </w:tbl>
    <w:p w14:paraId="6E6C309C" w14:textId="77777777" w:rsidR="00731C4E" w:rsidRDefault="00731C4E" w:rsidP="00731C4E">
      <w:pPr>
        <w:ind w:firstLine="720"/>
        <w:rPr>
          <w:sz w:val="28"/>
          <w:szCs w:val="28"/>
        </w:rPr>
      </w:pPr>
    </w:p>
    <w:p w14:paraId="4791D213" w14:textId="77777777" w:rsidR="00731C4E" w:rsidRDefault="00731C4E" w:rsidP="00731C4E">
      <w:pPr>
        <w:rPr>
          <w:sz w:val="28"/>
          <w:szCs w:val="28"/>
        </w:rPr>
      </w:pPr>
    </w:p>
    <w:p w14:paraId="4034F10E" w14:textId="77777777" w:rsidR="00731C4E" w:rsidRDefault="00731C4E" w:rsidP="00731C4E">
      <w:pPr>
        <w:rPr>
          <w:sz w:val="28"/>
          <w:szCs w:val="28"/>
        </w:rPr>
      </w:pPr>
    </w:p>
    <w:p w14:paraId="4A106ADF" w14:textId="77777777" w:rsidR="00731C4E" w:rsidRDefault="00731C4E" w:rsidP="00731C4E">
      <w:pPr>
        <w:ind w:left="-180"/>
        <w:rPr>
          <w:sz w:val="28"/>
          <w:szCs w:val="28"/>
        </w:rPr>
      </w:pPr>
    </w:p>
    <w:p w14:paraId="5CC7F349" w14:textId="77777777" w:rsidR="00731C4E" w:rsidRDefault="00731C4E" w:rsidP="00731C4E">
      <w:pPr>
        <w:ind w:firstLine="720"/>
      </w:pPr>
    </w:p>
    <w:p w14:paraId="7DCD11CE" w14:textId="77777777" w:rsidR="000306A7" w:rsidRDefault="000306A7" w:rsidP="001E6D20"/>
    <w:p w14:paraId="3F310751" w14:textId="77777777" w:rsidR="000306A7" w:rsidRDefault="000306A7" w:rsidP="000306A7">
      <w:pPr>
        <w:rPr>
          <w:lang w:eastAsia="en-US"/>
        </w:rPr>
      </w:pPr>
    </w:p>
    <w:p w14:paraId="56F29573" w14:textId="77777777" w:rsidR="0036350F" w:rsidRDefault="0036350F" w:rsidP="0036350F">
      <w:pPr>
        <w:rPr>
          <w:lang w:eastAsia="en-US"/>
        </w:rPr>
      </w:pPr>
    </w:p>
    <w:p w14:paraId="335C539D" w14:textId="77777777" w:rsidR="0036350F" w:rsidRPr="0036350F" w:rsidRDefault="0036350F" w:rsidP="0036350F">
      <w:pPr>
        <w:rPr>
          <w:lang w:eastAsia="en-US"/>
        </w:rPr>
      </w:pPr>
    </w:p>
    <w:p w14:paraId="78008B05" w14:textId="77777777" w:rsidR="007C16CE" w:rsidRDefault="007C16CE" w:rsidP="001E6D20"/>
    <w:p w14:paraId="47E2289D" w14:textId="77777777" w:rsidR="0067484B" w:rsidRDefault="00731C4E" w:rsidP="0067484B">
      <w:r>
        <w:br w:type="page"/>
      </w:r>
    </w:p>
    <w:p w14:paraId="4A3CFB28" w14:textId="77777777" w:rsidR="0067484B" w:rsidRDefault="0067484B" w:rsidP="0067484B">
      <w:pPr>
        <w:pStyle w:val="Heading6"/>
        <w:spacing w:line="240" w:lineRule="auto"/>
        <w:rPr>
          <w:rFonts w:cs="Arial"/>
          <w:color w:val="000000"/>
        </w:rPr>
      </w:pPr>
      <w:r>
        <w:rPr>
          <w:rFonts w:cs="Arial"/>
          <w:color w:val="000000"/>
        </w:rPr>
        <w:lastRenderedPageBreak/>
        <w:t>Table of Contents</w:t>
      </w:r>
    </w:p>
    <w:p w14:paraId="207C0B7E" w14:textId="77777777" w:rsidR="0067484B" w:rsidRDefault="0067484B" w:rsidP="0067484B"/>
    <w:p w14:paraId="4E15177A" w14:textId="0BFE37AE" w:rsidR="00E97550" w:rsidRDefault="0067484B">
      <w:pPr>
        <w:pStyle w:val="TOC1"/>
        <w:rPr>
          <w:rFonts w:asciiTheme="minorHAnsi" w:eastAsiaTheme="minorEastAsia" w:hAnsiTheme="minorHAnsi" w:cstheme="minorBidi"/>
          <w:b w:val="0"/>
          <w:color w:val="auto"/>
          <w:kern w:val="2"/>
          <w:szCs w:val="24"/>
          <w:lang w:eastAsia="en-GB"/>
          <w14:ligatures w14:val="standardContextual"/>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E97550" w:rsidRPr="00095A3A">
        <w:rPr>
          <w:b w:val="0"/>
          <w:color w:val="00436E"/>
        </w:rPr>
        <w:t>1.</w:t>
      </w:r>
      <w:r w:rsidR="00E97550">
        <w:rPr>
          <w:rFonts w:asciiTheme="minorHAnsi" w:eastAsiaTheme="minorEastAsia" w:hAnsiTheme="minorHAnsi" w:cstheme="minorBidi"/>
          <w:b w:val="0"/>
          <w:color w:val="auto"/>
          <w:kern w:val="2"/>
          <w:szCs w:val="24"/>
          <w:lang w:eastAsia="en-GB"/>
          <w14:ligatures w14:val="standardContextual"/>
        </w:rPr>
        <w:tab/>
      </w:r>
      <w:r w:rsidR="00E97550" w:rsidRPr="00095A3A">
        <w:rPr>
          <w:b w:val="0"/>
          <w:color w:val="00436E"/>
        </w:rPr>
        <w:t>Purpose and Scope</w:t>
      </w:r>
      <w:r w:rsidR="00E97550">
        <w:tab/>
      </w:r>
      <w:r w:rsidR="00E97550">
        <w:fldChar w:fldCharType="begin"/>
      </w:r>
      <w:r w:rsidR="00E97550">
        <w:instrText xml:space="preserve"> PAGEREF _Toc205456076 \h </w:instrText>
      </w:r>
      <w:r w:rsidR="00E97550">
        <w:fldChar w:fldCharType="separate"/>
      </w:r>
      <w:r w:rsidR="00765030">
        <w:t>4</w:t>
      </w:r>
      <w:r w:rsidR="00E97550">
        <w:fldChar w:fldCharType="end"/>
      </w:r>
    </w:p>
    <w:p w14:paraId="1A328CD2" w14:textId="5B4874F2" w:rsidR="00E97550" w:rsidRDefault="00E97550">
      <w:pPr>
        <w:pStyle w:val="TOC1"/>
        <w:rPr>
          <w:rFonts w:asciiTheme="minorHAnsi" w:eastAsiaTheme="minorEastAsia" w:hAnsiTheme="minorHAnsi" w:cstheme="minorBidi"/>
          <w:b w:val="0"/>
          <w:color w:val="auto"/>
          <w:kern w:val="2"/>
          <w:szCs w:val="24"/>
          <w:lang w:eastAsia="en-GB"/>
          <w14:ligatures w14:val="standardContextual"/>
        </w:rPr>
      </w:pPr>
      <w:r w:rsidRPr="00095A3A">
        <w:rPr>
          <w:b w:val="0"/>
          <w:color w:val="00436E"/>
        </w:rPr>
        <w:t>2.</w:t>
      </w:r>
      <w:r>
        <w:rPr>
          <w:rFonts w:asciiTheme="minorHAnsi" w:eastAsiaTheme="minorEastAsia" w:hAnsiTheme="minorHAnsi" w:cstheme="minorBidi"/>
          <w:b w:val="0"/>
          <w:color w:val="auto"/>
          <w:kern w:val="2"/>
          <w:szCs w:val="24"/>
          <w:lang w:eastAsia="en-GB"/>
          <w14:ligatures w14:val="standardContextual"/>
        </w:rPr>
        <w:tab/>
      </w:r>
      <w:r w:rsidRPr="00095A3A">
        <w:rPr>
          <w:b w:val="0"/>
          <w:color w:val="00436E"/>
        </w:rPr>
        <w:t>Provider of Last Resort Allocation Process</w:t>
      </w:r>
      <w:r>
        <w:tab/>
      </w:r>
      <w:r>
        <w:fldChar w:fldCharType="begin"/>
      </w:r>
      <w:r>
        <w:instrText xml:space="preserve"> PAGEREF _Toc205456077 \h </w:instrText>
      </w:r>
      <w:r>
        <w:fldChar w:fldCharType="separate"/>
      </w:r>
      <w:r w:rsidR="00765030">
        <w:t>5</w:t>
      </w:r>
      <w:r>
        <w:fldChar w:fldCharType="end"/>
      </w:r>
    </w:p>
    <w:p w14:paraId="2051248A" w14:textId="7D492A19"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2.1</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Process Description</w:t>
      </w:r>
      <w:r>
        <w:tab/>
      </w:r>
      <w:r>
        <w:fldChar w:fldCharType="begin"/>
      </w:r>
      <w:r>
        <w:instrText xml:space="preserve"> PAGEREF _Toc205456078 \h </w:instrText>
      </w:r>
      <w:r>
        <w:fldChar w:fldCharType="separate"/>
      </w:r>
      <w:r w:rsidR="00765030">
        <w:t>5</w:t>
      </w:r>
      <w:r>
        <w:fldChar w:fldCharType="end"/>
      </w:r>
    </w:p>
    <w:p w14:paraId="63F38A36" w14:textId="25BBB6AE" w:rsidR="00E97550" w:rsidRDefault="00E97550">
      <w:pPr>
        <w:pStyle w:val="TOC1"/>
        <w:rPr>
          <w:rFonts w:asciiTheme="minorHAnsi" w:eastAsiaTheme="minorEastAsia" w:hAnsiTheme="minorHAnsi" w:cstheme="minorBidi"/>
          <w:b w:val="0"/>
          <w:color w:val="auto"/>
          <w:kern w:val="2"/>
          <w:szCs w:val="24"/>
          <w:lang w:eastAsia="en-GB"/>
          <w14:ligatures w14:val="standardContextual"/>
        </w:rPr>
      </w:pPr>
      <w:r w:rsidRPr="00095A3A">
        <w:rPr>
          <w:b w:val="0"/>
          <w:color w:val="00436E"/>
        </w:rPr>
        <w:t>3.</w:t>
      </w:r>
      <w:r>
        <w:rPr>
          <w:rFonts w:asciiTheme="minorHAnsi" w:eastAsiaTheme="minorEastAsia" w:hAnsiTheme="minorHAnsi" w:cstheme="minorBidi"/>
          <w:b w:val="0"/>
          <w:color w:val="auto"/>
          <w:kern w:val="2"/>
          <w:szCs w:val="24"/>
          <w:lang w:eastAsia="en-GB"/>
          <w14:ligatures w14:val="standardContextual"/>
        </w:rPr>
        <w:tab/>
      </w:r>
      <w:r w:rsidRPr="00095A3A">
        <w:rPr>
          <w:b w:val="0"/>
          <w:color w:val="00436E"/>
        </w:rPr>
        <w:t>Provider of Last Resort - Registration</w:t>
      </w:r>
      <w:r>
        <w:tab/>
      </w:r>
      <w:r>
        <w:fldChar w:fldCharType="begin"/>
      </w:r>
      <w:r>
        <w:instrText xml:space="preserve"> PAGEREF _Toc205456079 \h </w:instrText>
      </w:r>
      <w:r>
        <w:fldChar w:fldCharType="separate"/>
      </w:r>
      <w:r w:rsidR="00765030">
        <w:t>6</w:t>
      </w:r>
      <w:r>
        <w:fldChar w:fldCharType="end"/>
      </w:r>
    </w:p>
    <w:p w14:paraId="110A2FC8" w14:textId="3A46FB44"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3.1</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Process Description</w:t>
      </w:r>
      <w:r>
        <w:tab/>
      </w:r>
      <w:r>
        <w:fldChar w:fldCharType="begin"/>
      </w:r>
      <w:r>
        <w:instrText xml:space="preserve"> PAGEREF _Toc205456080 \h </w:instrText>
      </w:r>
      <w:r>
        <w:fldChar w:fldCharType="separate"/>
      </w:r>
      <w:r w:rsidR="00765030">
        <w:t>6</w:t>
      </w:r>
      <w:r>
        <w:fldChar w:fldCharType="end"/>
      </w:r>
    </w:p>
    <w:p w14:paraId="4ED7D04A" w14:textId="488B4342"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3.2</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Process Diagram</w:t>
      </w:r>
      <w:r>
        <w:tab/>
      </w:r>
      <w:r>
        <w:fldChar w:fldCharType="begin"/>
      </w:r>
      <w:r>
        <w:instrText xml:space="preserve"> PAGEREF _Toc205456081 \h </w:instrText>
      </w:r>
      <w:r>
        <w:fldChar w:fldCharType="separate"/>
      </w:r>
      <w:r w:rsidR="00765030">
        <w:t>9</w:t>
      </w:r>
      <w:r>
        <w:fldChar w:fldCharType="end"/>
      </w:r>
    </w:p>
    <w:p w14:paraId="485E8F68" w14:textId="16F4D476"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3.3</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Interface and Timetable Requirements</w:t>
      </w:r>
      <w:r>
        <w:tab/>
      </w:r>
      <w:r>
        <w:fldChar w:fldCharType="begin"/>
      </w:r>
      <w:r>
        <w:instrText xml:space="preserve"> PAGEREF _Toc205456082 \h </w:instrText>
      </w:r>
      <w:r>
        <w:fldChar w:fldCharType="separate"/>
      </w:r>
      <w:r w:rsidR="00765030">
        <w:t>10</w:t>
      </w:r>
      <w:r>
        <w:fldChar w:fldCharType="end"/>
      </w:r>
    </w:p>
    <w:p w14:paraId="6EB07187" w14:textId="6AF249B0" w:rsidR="00E97550" w:rsidRDefault="00E97550">
      <w:pPr>
        <w:pStyle w:val="TOC1"/>
        <w:rPr>
          <w:rFonts w:asciiTheme="minorHAnsi" w:eastAsiaTheme="minorEastAsia" w:hAnsiTheme="minorHAnsi" w:cstheme="minorBidi"/>
          <w:b w:val="0"/>
          <w:color w:val="auto"/>
          <w:kern w:val="2"/>
          <w:szCs w:val="24"/>
          <w:lang w:eastAsia="en-GB"/>
          <w14:ligatures w14:val="standardContextual"/>
        </w:rPr>
      </w:pPr>
      <w:r w:rsidRPr="00095A3A">
        <w:rPr>
          <w:b w:val="0"/>
          <w:color w:val="00436E"/>
        </w:rPr>
        <w:t>4.</w:t>
      </w:r>
      <w:r>
        <w:rPr>
          <w:rFonts w:asciiTheme="minorHAnsi" w:eastAsiaTheme="minorEastAsia" w:hAnsiTheme="minorHAnsi" w:cstheme="minorBidi"/>
          <w:b w:val="0"/>
          <w:color w:val="auto"/>
          <w:kern w:val="2"/>
          <w:szCs w:val="24"/>
          <w:lang w:eastAsia="en-GB"/>
          <w14:ligatures w14:val="standardContextual"/>
        </w:rPr>
        <w:tab/>
      </w:r>
      <w:r w:rsidRPr="00095A3A">
        <w:rPr>
          <w:b w:val="0"/>
          <w:color w:val="00436E"/>
        </w:rPr>
        <w:t>Customer Data Report</w:t>
      </w:r>
      <w:r>
        <w:tab/>
      </w:r>
      <w:r>
        <w:fldChar w:fldCharType="begin"/>
      </w:r>
      <w:r>
        <w:instrText xml:space="preserve"> PAGEREF _Toc205456083 \h </w:instrText>
      </w:r>
      <w:r>
        <w:fldChar w:fldCharType="separate"/>
      </w:r>
      <w:r w:rsidR="00765030">
        <w:t>11</w:t>
      </w:r>
      <w:r>
        <w:fldChar w:fldCharType="end"/>
      </w:r>
    </w:p>
    <w:p w14:paraId="020045B4" w14:textId="200564B9"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4.1</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Licensed Providers’ Customer Data Report</w:t>
      </w:r>
      <w:r>
        <w:tab/>
      </w:r>
      <w:r>
        <w:fldChar w:fldCharType="begin"/>
      </w:r>
      <w:r>
        <w:instrText xml:space="preserve"> PAGEREF _Toc205456084 \h </w:instrText>
      </w:r>
      <w:r>
        <w:fldChar w:fldCharType="separate"/>
      </w:r>
      <w:r w:rsidR="00765030">
        <w:t>11</w:t>
      </w:r>
      <w:r>
        <w:fldChar w:fldCharType="end"/>
      </w:r>
    </w:p>
    <w:p w14:paraId="16B0B6D5" w14:textId="3757A3EF"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4.2</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Customer Data Report Format</w:t>
      </w:r>
      <w:r>
        <w:tab/>
      </w:r>
      <w:r>
        <w:fldChar w:fldCharType="begin"/>
      </w:r>
      <w:r>
        <w:instrText xml:space="preserve"> PAGEREF _Toc205456087 \h </w:instrText>
      </w:r>
      <w:r>
        <w:fldChar w:fldCharType="separate"/>
      </w:r>
      <w:r w:rsidR="00765030">
        <w:t>11</w:t>
      </w:r>
      <w:r>
        <w:fldChar w:fldCharType="end"/>
      </w:r>
    </w:p>
    <w:p w14:paraId="2DFC0C50" w14:textId="755EF4A8"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4.3</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Upload and Storage</w:t>
      </w:r>
      <w:r>
        <w:tab/>
      </w:r>
      <w:r>
        <w:fldChar w:fldCharType="begin"/>
      </w:r>
      <w:r>
        <w:instrText xml:space="preserve"> PAGEREF _Toc205456089 \h </w:instrText>
      </w:r>
      <w:r>
        <w:fldChar w:fldCharType="separate"/>
      </w:r>
      <w:r w:rsidR="00765030">
        <w:t>12</w:t>
      </w:r>
      <w:r>
        <w:fldChar w:fldCharType="end"/>
      </w:r>
    </w:p>
    <w:p w14:paraId="132A307E" w14:textId="6EC14EA6"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4.4</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Data validity checks</w:t>
      </w:r>
      <w:r>
        <w:tab/>
      </w:r>
      <w:r>
        <w:fldChar w:fldCharType="begin"/>
      </w:r>
      <w:r>
        <w:instrText xml:space="preserve"> PAGEREF _Toc205456093 \h </w:instrText>
      </w:r>
      <w:r>
        <w:fldChar w:fldCharType="separate"/>
      </w:r>
      <w:r w:rsidR="00765030">
        <w:t>12</w:t>
      </w:r>
      <w:r>
        <w:fldChar w:fldCharType="end"/>
      </w:r>
    </w:p>
    <w:p w14:paraId="79968151" w14:textId="70F2BF6C"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4.5</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Data not provided or data quality concerns</w:t>
      </w:r>
      <w:r>
        <w:tab/>
      </w:r>
      <w:r>
        <w:fldChar w:fldCharType="begin"/>
      </w:r>
      <w:r>
        <w:instrText xml:space="preserve"> PAGEREF _Toc205456098 \h </w:instrText>
      </w:r>
      <w:r>
        <w:fldChar w:fldCharType="separate"/>
      </w:r>
      <w:r w:rsidR="00765030">
        <w:t>12</w:t>
      </w:r>
      <w:r>
        <w:fldChar w:fldCharType="end"/>
      </w:r>
    </w:p>
    <w:p w14:paraId="282718F1" w14:textId="2F7ACDF4"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4.6</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Data retention</w:t>
      </w:r>
      <w:r>
        <w:tab/>
      </w:r>
      <w:r>
        <w:fldChar w:fldCharType="begin"/>
      </w:r>
      <w:r>
        <w:instrText xml:space="preserve"> PAGEREF _Toc205456101 \h </w:instrText>
      </w:r>
      <w:r>
        <w:fldChar w:fldCharType="separate"/>
      </w:r>
      <w:r w:rsidR="00765030">
        <w:t>12</w:t>
      </w:r>
      <w:r>
        <w:fldChar w:fldCharType="end"/>
      </w:r>
    </w:p>
    <w:p w14:paraId="0ACE6E74" w14:textId="30EF8CC5" w:rsidR="00E97550" w:rsidRDefault="00E97550">
      <w:pPr>
        <w:pStyle w:val="TOC2"/>
        <w:rPr>
          <w:rFonts w:asciiTheme="minorHAnsi" w:eastAsiaTheme="minorEastAsia" w:hAnsiTheme="minorHAnsi" w:cstheme="minorBidi"/>
          <w:color w:val="auto"/>
          <w:kern w:val="2"/>
          <w:sz w:val="24"/>
          <w:szCs w:val="24"/>
          <w:lang w:eastAsia="en-GB"/>
          <w14:ligatures w14:val="standardContextual"/>
        </w:rPr>
      </w:pPr>
      <w:r w:rsidRPr="00095A3A">
        <w:rPr>
          <w:color w:val="00436E"/>
        </w:rPr>
        <w:t>4.7</w:t>
      </w:r>
      <w:r>
        <w:rPr>
          <w:rFonts w:asciiTheme="minorHAnsi" w:eastAsiaTheme="minorEastAsia" w:hAnsiTheme="minorHAnsi" w:cstheme="minorBidi"/>
          <w:color w:val="auto"/>
          <w:kern w:val="2"/>
          <w:sz w:val="24"/>
          <w:szCs w:val="24"/>
          <w:lang w:eastAsia="en-GB"/>
          <w14:ligatures w14:val="standardContextual"/>
        </w:rPr>
        <w:tab/>
      </w:r>
      <w:r w:rsidRPr="00095A3A">
        <w:rPr>
          <w:color w:val="00436E"/>
        </w:rPr>
        <w:t>Use of Customer Data Reports</w:t>
      </w:r>
      <w:r>
        <w:tab/>
      </w:r>
      <w:r>
        <w:fldChar w:fldCharType="begin"/>
      </w:r>
      <w:r>
        <w:instrText xml:space="preserve"> PAGEREF _Toc205456103 \h </w:instrText>
      </w:r>
      <w:r>
        <w:fldChar w:fldCharType="separate"/>
      </w:r>
      <w:r w:rsidR="00765030">
        <w:t>13</w:t>
      </w:r>
      <w:r>
        <w:fldChar w:fldCharType="end"/>
      </w:r>
    </w:p>
    <w:p w14:paraId="2C7011E9" w14:textId="7A546142" w:rsidR="00E97550" w:rsidRDefault="00E97550">
      <w:pPr>
        <w:pStyle w:val="TOC1"/>
        <w:rPr>
          <w:rFonts w:asciiTheme="minorHAnsi" w:eastAsiaTheme="minorEastAsia" w:hAnsiTheme="minorHAnsi" w:cstheme="minorBidi"/>
          <w:b w:val="0"/>
          <w:color w:val="auto"/>
          <w:kern w:val="2"/>
          <w:szCs w:val="24"/>
          <w:lang w:eastAsia="en-GB"/>
          <w14:ligatures w14:val="standardContextual"/>
        </w:rPr>
      </w:pPr>
      <w:r w:rsidRPr="00095A3A">
        <w:rPr>
          <w:b w:val="0"/>
          <w:color w:val="00436E"/>
        </w:rPr>
        <w:t>Appendix 1 – Process Diagram Symbols</w:t>
      </w:r>
      <w:r>
        <w:tab/>
      </w:r>
      <w:r>
        <w:fldChar w:fldCharType="begin"/>
      </w:r>
      <w:r>
        <w:instrText xml:space="preserve"> PAGEREF _Toc205456104 \h </w:instrText>
      </w:r>
      <w:r>
        <w:fldChar w:fldCharType="separate"/>
      </w:r>
      <w:r w:rsidR="00765030">
        <w:t>14</w:t>
      </w:r>
      <w:r>
        <w:fldChar w:fldCharType="end"/>
      </w:r>
    </w:p>
    <w:p w14:paraId="319B2786" w14:textId="77777777" w:rsidR="0067484B" w:rsidRDefault="0067484B" w:rsidP="0067484B">
      <w:pPr>
        <w:ind w:firstLine="720"/>
        <w:rPr>
          <w:b/>
          <w:sz w:val="24"/>
        </w:rPr>
      </w:pPr>
      <w:r>
        <w:rPr>
          <w:b/>
          <w:sz w:val="24"/>
        </w:rPr>
        <w:fldChar w:fldCharType="end"/>
      </w:r>
    </w:p>
    <w:p w14:paraId="28480C09" w14:textId="77777777" w:rsidR="00342EC9" w:rsidRDefault="00342EC9" w:rsidP="0067484B">
      <w:pPr>
        <w:ind w:firstLine="720"/>
        <w:rPr>
          <w:b/>
          <w:sz w:val="24"/>
        </w:rPr>
      </w:pPr>
    </w:p>
    <w:p w14:paraId="6F026C44" w14:textId="77777777" w:rsidR="00342EC9" w:rsidRDefault="00342EC9" w:rsidP="0067484B">
      <w:pPr>
        <w:ind w:firstLine="720"/>
        <w:rPr>
          <w:b/>
          <w:sz w:val="24"/>
        </w:rPr>
      </w:pPr>
    </w:p>
    <w:p w14:paraId="4B0052FB" w14:textId="77777777" w:rsidR="00342EC9" w:rsidRDefault="00342EC9" w:rsidP="00342EC9">
      <w:pPr>
        <w:pStyle w:val="Heading1"/>
        <w:spacing w:line="360" w:lineRule="auto"/>
        <w:rPr>
          <w:b w:val="0"/>
          <w:color w:val="00436E"/>
        </w:rPr>
      </w:pPr>
      <w:bookmarkStart w:id="0" w:name="_Toc164655244"/>
      <w:r>
        <w:rPr>
          <w:b w:val="0"/>
          <w:color w:val="00436E"/>
        </w:rPr>
        <w:br w:type="page"/>
      </w:r>
      <w:bookmarkStart w:id="1" w:name="_Toc205456076"/>
      <w:r>
        <w:rPr>
          <w:b w:val="0"/>
          <w:color w:val="00436E"/>
        </w:rPr>
        <w:lastRenderedPageBreak/>
        <w:t>P</w:t>
      </w:r>
      <w:r w:rsidRPr="00191ACF">
        <w:rPr>
          <w:b w:val="0"/>
          <w:color w:val="00436E"/>
        </w:rPr>
        <w:t>urpose and Scope</w:t>
      </w:r>
      <w:bookmarkEnd w:id="0"/>
      <w:bookmarkEnd w:id="1"/>
    </w:p>
    <w:p w14:paraId="667C3EC6" w14:textId="77777777" w:rsidR="00342EC9" w:rsidRPr="008467AC" w:rsidRDefault="00342EC9" w:rsidP="00342EC9"/>
    <w:p w14:paraId="478118BB" w14:textId="77777777" w:rsidR="00342EC9" w:rsidRDefault="00342EC9" w:rsidP="00342EC9">
      <w:pPr>
        <w:spacing w:line="360" w:lineRule="auto"/>
        <w:jc w:val="both"/>
      </w:pPr>
      <w:r>
        <w:t xml:space="preserve">This document describes the process that will be applied in the event that a Provider of Last Resort is appointed by the CMA under Section 5.3.6 of the Market Code. </w:t>
      </w:r>
    </w:p>
    <w:p w14:paraId="3E9E9FDE" w14:textId="77777777" w:rsidR="00342EC9" w:rsidRDefault="00342EC9" w:rsidP="00342EC9">
      <w:pPr>
        <w:spacing w:line="360" w:lineRule="auto"/>
        <w:jc w:val="both"/>
      </w:pPr>
    </w:p>
    <w:p w14:paraId="6667CAA2" w14:textId="77777777" w:rsidR="00342EC9" w:rsidRDefault="00342EC9" w:rsidP="00342EC9">
      <w:pPr>
        <w:spacing w:line="360" w:lineRule="auto"/>
        <w:jc w:val="both"/>
      </w:pPr>
      <w:r>
        <w:t xml:space="preserve">This transfer will comprise two key procedures – </w:t>
      </w:r>
    </w:p>
    <w:p w14:paraId="36D59187" w14:textId="77777777" w:rsidR="00342EC9" w:rsidRDefault="00342EC9" w:rsidP="00342EC9">
      <w:pPr>
        <w:spacing w:line="360" w:lineRule="auto"/>
        <w:jc w:val="both"/>
      </w:pPr>
    </w:p>
    <w:p w14:paraId="3A3CB85E" w14:textId="77777777" w:rsidR="00342EC9" w:rsidRDefault="00342EC9" w:rsidP="00342EC9">
      <w:pPr>
        <w:numPr>
          <w:ilvl w:val="0"/>
          <w:numId w:val="15"/>
        </w:numPr>
        <w:spacing w:line="360" w:lineRule="auto"/>
        <w:jc w:val="both"/>
      </w:pPr>
      <w:r>
        <w:t xml:space="preserve">an Allocation Process detailing how the Provider(s) of Last Resort shall be appointed and advised of the SPIDs allocated to it by the CMA; and </w:t>
      </w:r>
    </w:p>
    <w:p w14:paraId="4679BD33" w14:textId="77777777" w:rsidR="00342EC9" w:rsidRDefault="00342EC9" w:rsidP="00342EC9">
      <w:pPr>
        <w:numPr>
          <w:ilvl w:val="0"/>
          <w:numId w:val="15"/>
        </w:numPr>
        <w:spacing w:line="360" w:lineRule="auto"/>
        <w:jc w:val="both"/>
      </w:pPr>
      <w:r>
        <w:t>the process to Transfer the POLR Supply Points to the relevant Provider(s) of Last Resort.</w:t>
      </w:r>
    </w:p>
    <w:p w14:paraId="475C1934" w14:textId="77777777" w:rsidR="00342EC9" w:rsidRDefault="00342EC9" w:rsidP="00342EC9">
      <w:pPr>
        <w:jc w:val="both"/>
      </w:pPr>
    </w:p>
    <w:p w14:paraId="333FCB44" w14:textId="77777777" w:rsidR="00342EC9" w:rsidRDefault="00342EC9" w:rsidP="00342EC9">
      <w:pPr>
        <w:spacing w:line="360" w:lineRule="auto"/>
      </w:pPr>
    </w:p>
    <w:p w14:paraId="3165AE58" w14:textId="77777777" w:rsidR="00342EC9" w:rsidRDefault="00342EC9" w:rsidP="00342EC9">
      <w:pPr>
        <w:spacing w:line="360" w:lineRule="auto"/>
      </w:pPr>
    </w:p>
    <w:p w14:paraId="24DE3A1D" w14:textId="77777777" w:rsidR="00342EC9" w:rsidRPr="00191ACF" w:rsidRDefault="00342EC9" w:rsidP="00342EC9">
      <w:pPr>
        <w:pStyle w:val="Heading1"/>
        <w:spacing w:line="360" w:lineRule="auto"/>
        <w:rPr>
          <w:b w:val="0"/>
          <w:color w:val="00436E"/>
        </w:rPr>
      </w:pPr>
      <w:r w:rsidRPr="00191ACF">
        <w:rPr>
          <w:b w:val="0"/>
          <w:color w:val="00436E"/>
        </w:rPr>
        <w:br w:type="page"/>
      </w:r>
      <w:bookmarkStart w:id="2" w:name="_Toc164655245"/>
      <w:bookmarkStart w:id="3" w:name="_Toc205456077"/>
      <w:r w:rsidRPr="00191ACF">
        <w:rPr>
          <w:b w:val="0"/>
          <w:color w:val="00436E"/>
        </w:rPr>
        <w:lastRenderedPageBreak/>
        <w:t>Provider of Last Resort Allocation</w:t>
      </w:r>
      <w:bookmarkEnd w:id="2"/>
      <w:r w:rsidRPr="00191ACF">
        <w:rPr>
          <w:b w:val="0"/>
          <w:color w:val="00436E"/>
        </w:rPr>
        <w:t xml:space="preserve"> Process</w:t>
      </w:r>
      <w:bookmarkEnd w:id="3"/>
    </w:p>
    <w:p w14:paraId="7C6843B2" w14:textId="77777777" w:rsidR="00342EC9" w:rsidRPr="00191ACF" w:rsidRDefault="00342EC9" w:rsidP="00342EC9">
      <w:pPr>
        <w:pStyle w:val="Heading2"/>
        <w:spacing w:line="360" w:lineRule="auto"/>
        <w:rPr>
          <w:b w:val="0"/>
          <w:i w:val="0"/>
          <w:color w:val="00436E"/>
        </w:rPr>
      </w:pPr>
      <w:r w:rsidRPr="00191ACF">
        <w:rPr>
          <w:b w:val="0"/>
          <w:i w:val="0"/>
          <w:color w:val="00436E"/>
        </w:rPr>
        <w:t xml:space="preserve"> </w:t>
      </w:r>
      <w:bookmarkStart w:id="4" w:name="_Toc205456078"/>
      <w:r w:rsidRPr="00191ACF">
        <w:rPr>
          <w:b w:val="0"/>
          <w:i w:val="0"/>
          <w:color w:val="00436E"/>
        </w:rPr>
        <w:t>Process Description</w:t>
      </w:r>
      <w:bookmarkEnd w:id="4"/>
    </w:p>
    <w:p w14:paraId="46FA09B6" w14:textId="77777777" w:rsidR="00342EC9" w:rsidRDefault="00342EC9" w:rsidP="00342EC9"/>
    <w:p w14:paraId="01536350" w14:textId="77777777" w:rsidR="00342EC9" w:rsidRDefault="00342EC9" w:rsidP="00342EC9"/>
    <w:p w14:paraId="77159F85" w14:textId="77777777" w:rsidR="00342EC9" w:rsidRDefault="00342EC9" w:rsidP="00342EC9">
      <w:pPr>
        <w:spacing w:line="360" w:lineRule="auto"/>
        <w:rPr>
          <w:b/>
        </w:rPr>
      </w:pPr>
      <w:r w:rsidRPr="005F1850">
        <w:t xml:space="preserve">In the event that a </w:t>
      </w:r>
      <w:r>
        <w:t>Termination Notice is issued to a Licensed Provider, t</w:t>
      </w:r>
      <w:r w:rsidRPr="007F616C">
        <w:t xml:space="preserve">he </w:t>
      </w:r>
      <w:r>
        <w:t>CMA shall</w:t>
      </w:r>
      <w:r w:rsidRPr="007F616C">
        <w:t xml:space="preserve"> </w:t>
      </w:r>
      <w:r>
        <w:t xml:space="preserve">allocate POLR Supply Points in accordance with </w:t>
      </w:r>
      <w:r w:rsidRPr="007F616C">
        <w:t>section</w:t>
      </w:r>
      <w:r>
        <w:rPr>
          <w:b/>
        </w:rPr>
        <w:t xml:space="preserve"> </w:t>
      </w:r>
      <w:r w:rsidRPr="007D7085">
        <w:t>5.3.6(i) (</w:t>
      </w:r>
      <w:r w:rsidR="00CB32C2">
        <w:t>c</w:t>
      </w:r>
      <w:r w:rsidRPr="007D7085">
        <w:t>) of the Market Code</w:t>
      </w:r>
      <w:r w:rsidR="00CB32C2">
        <w:t>.</w:t>
      </w:r>
      <w:r w:rsidRPr="007D7085">
        <w:t xml:space="preserve"> </w:t>
      </w:r>
    </w:p>
    <w:p w14:paraId="139598A6" w14:textId="77777777" w:rsidR="00342EC9" w:rsidRDefault="00342EC9" w:rsidP="00342EC9">
      <w:pPr>
        <w:spacing w:line="360" w:lineRule="auto"/>
      </w:pPr>
    </w:p>
    <w:p w14:paraId="6D0DC389" w14:textId="77777777" w:rsidR="00342EC9" w:rsidRDefault="00342EC9" w:rsidP="0067484B">
      <w:pPr>
        <w:ind w:firstLine="720"/>
        <w:rPr>
          <w:b/>
          <w:sz w:val="24"/>
        </w:rPr>
      </w:pPr>
    </w:p>
    <w:p w14:paraId="4413578E" w14:textId="77777777" w:rsidR="00342EC9" w:rsidRDefault="00342EC9" w:rsidP="0067484B">
      <w:pPr>
        <w:ind w:firstLine="720"/>
        <w:rPr>
          <w:b/>
          <w:sz w:val="24"/>
        </w:rPr>
      </w:pPr>
    </w:p>
    <w:p w14:paraId="3512B4EF" w14:textId="77777777" w:rsidR="00342EC9" w:rsidRPr="00191ACF" w:rsidRDefault="00342EC9" w:rsidP="00342EC9">
      <w:pPr>
        <w:pStyle w:val="Heading1"/>
        <w:spacing w:line="360" w:lineRule="auto"/>
        <w:rPr>
          <w:b w:val="0"/>
          <w:color w:val="00436E"/>
        </w:rPr>
      </w:pPr>
      <w:bookmarkStart w:id="5" w:name="_Toc164655250"/>
      <w:r>
        <w:rPr>
          <w:b w:val="0"/>
          <w:color w:val="00436E"/>
        </w:rPr>
        <w:br w:type="page"/>
      </w:r>
      <w:bookmarkStart w:id="6" w:name="_Toc205456079"/>
      <w:r w:rsidRPr="00191ACF">
        <w:rPr>
          <w:b w:val="0"/>
          <w:color w:val="00436E"/>
        </w:rPr>
        <w:lastRenderedPageBreak/>
        <w:t>Provider of Last Resort - Registration</w:t>
      </w:r>
      <w:bookmarkEnd w:id="5"/>
      <w:bookmarkEnd w:id="6"/>
    </w:p>
    <w:p w14:paraId="29B40034" w14:textId="1EF4AC1A" w:rsidR="00342EC9" w:rsidRPr="00191ACF" w:rsidRDefault="00342EC9" w:rsidP="00342EC9">
      <w:pPr>
        <w:pStyle w:val="Heading2"/>
        <w:spacing w:line="360" w:lineRule="auto"/>
        <w:rPr>
          <w:b w:val="0"/>
          <w:i w:val="0"/>
          <w:color w:val="00436E"/>
        </w:rPr>
      </w:pPr>
      <w:bookmarkStart w:id="7" w:name="_Toc205456080"/>
      <w:r w:rsidRPr="00191ACF">
        <w:rPr>
          <w:b w:val="0"/>
          <w:i w:val="0"/>
          <w:color w:val="00436E"/>
        </w:rPr>
        <w:t>Process Description</w:t>
      </w:r>
      <w:bookmarkEnd w:id="7"/>
    </w:p>
    <w:p w14:paraId="79789A63" w14:textId="77777777" w:rsidR="00342EC9" w:rsidRDefault="00342EC9" w:rsidP="00342EC9">
      <w:pPr>
        <w:spacing w:line="360" w:lineRule="auto"/>
        <w:jc w:val="both"/>
        <w:rPr>
          <w:b/>
          <w:color w:val="333399"/>
        </w:rPr>
      </w:pPr>
    </w:p>
    <w:p w14:paraId="22C7BD74" w14:textId="77777777" w:rsidR="00342EC9" w:rsidRDefault="00342EC9" w:rsidP="00342EC9">
      <w:pPr>
        <w:spacing w:line="360" w:lineRule="auto"/>
        <w:jc w:val="both"/>
        <w:rPr>
          <w:b/>
          <w:bCs/>
        </w:rPr>
      </w:pPr>
      <w:r>
        <w:t xml:space="preserve">The POLR Supply Points shall be Transferred by the CMA to the relevant Providers of Last Resort as an amendment to the records held by the CMA. </w:t>
      </w:r>
    </w:p>
    <w:p w14:paraId="63BBDDC9" w14:textId="77777777" w:rsidR="00342EC9" w:rsidRDefault="00342EC9" w:rsidP="00342EC9">
      <w:pPr>
        <w:spacing w:line="360" w:lineRule="auto"/>
        <w:jc w:val="both"/>
      </w:pPr>
    </w:p>
    <w:p w14:paraId="39384F45" w14:textId="77777777" w:rsidR="00342EC9" w:rsidRDefault="00342EC9" w:rsidP="00342EC9">
      <w:pPr>
        <w:spacing w:line="360" w:lineRule="auto"/>
        <w:jc w:val="both"/>
      </w:pPr>
      <w:r>
        <w:t>The CMA will prepare a report setting out:</w:t>
      </w:r>
    </w:p>
    <w:p w14:paraId="4045EF72" w14:textId="77777777" w:rsidR="00342EC9" w:rsidRDefault="00342EC9" w:rsidP="00342EC9">
      <w:pPr>
        <w:spacing w:line="360" w:lineRule="auto"/>
        <w:jc w:val="both"/>
      </w:pPr>
    </w:p>
    <w:p w14:paraId="55FFB909" w14:textId="77777777" w:rsidR="00342EC9" w:rsidRDefault="00342EC9" w:rsidP="00342EC9">
      <w:pPr>
        <w:numPr>
          <w:ilvl w:val="0"/>
          <w:numId w:val="16"/>
        </w:numPr>
        <w:spacing w:line="360" w:lineRule="auto"/>
        <w:jc w:val="both"/>
      </w:pPr>
      <w:r>
        <w:t xml:space="preserve">the relevant POLR Supply Points affected; </w:t>
      </w:r>
    </w:p>
    <w:p w14:paraId="4E6A7931" w14:textId="77777777" w:rsidR="00342EC9" w:rsidRDefault="00342EC9" w:rsidP="00342EC9">
      <w:pPr>
        <w:numPr>
          <w:ilvl w:val="0"/>
          <w:numId w:val="16"/>
        </w:numPr>
        <w:spacing w:line="360" w:lineRule="auto"/>
        <w:jc w:val="both"/>
      </w:pPr>
      <w:r>
        <w:t xml:space="preserve">the relevant Provider(s) of Last Resort to be Registered to those SPIDs; </w:t>
      </w:r>
    </w:p>
    <w:p w14:paraId="65B82E5B" w14:textId="77777777" w:rsidR="00342EC9" w:rsidRDefault="00342EC9" w:rsidP="00342EC9">
      <w:pPr>
        <w:numPr>
          <w:ilvl w:val="0"/>
          <w:numId w:val="16"/>
        </w:numPr>
        <w:spacing w:line="360" w:lineRule="auto"/>
        <w:jc w:val="both"/>
      </w:pPr>
      <w:r>
        <w:t>the Registration Start Date (being the Designated Time) for each Provider of Last Resort: and</w:t>
      </w:r>
    </w:p>
    <w:p w14:paraId="65D745ED" w14:textId="77777777" w:rsidR="00342EC9" w:rsidRDefault="00342EC9" w:rsidP="00342EC9">
      <w:pPr>
        <w:numPr>
          <w:ilvl w:val="0"/>
          <w:numId w:val="16"/>
        </w:numPr>
        <w:spacing w:line="360" w:lineRule="auto"/>
        <w:jc w:val="both"/>
      </w:pPr>
      <w:r>
        <w:t xml:space="preserve">the Designated Circumstances.  </w:t>
      </w:r>
    </w:p>
    <w:p w14:paraId="0EA29262" w14:textId="77777777" w:rsidR="00342EC9" w:rsidRDefault="00342EC9" w:rsidP="00342EC9">
      <w:pPr>
        <w:spacing w:line="360" w:lineRule="auto"/>
        <w:jc w:val="both"/>
      </w:pPr>
    </w:p>
    <w:p w14:paraId="0DD661B1" w14:textId="77777777" w:rsidR="00342EC9" w:rsidRDefault="00342EC9" w:rsidP="00342EC9">
      <w:pPr>
        <w:spacing w:line="360" w:lineRule="auto"/>
        <w:jc w:val="both"/>
      </w:pPr>
      <w:r>
        <w:t>Prior to this Registration process the CMA will provide each Provider of Last Resort with confirmation of when the Registrations of the POLR Supply Points that have been transferred to it will be implemented.  This will set out the Designated Time to be used by the CMA in Registration and the timeline for implementing the Transfer.</w:t>
      </w:r>
    </w:p>
    <w:p w14:paraId="746E7D98" w14:textId="77777777" w:rsidR="00342EC9" w:rsidRDefault="00342EC9" w:rsidP="00342EC9">
      <w:pPr>
        <w:spacing w:line="360" w:lineRule="auto"/>
        <w:jc w:val="both"/>
      </w:pPr>
    </w:p>
    <w:p w14:paraId="4DD51632" w14:textId="77777777" w:rsidR="00342EC9" w:rsidRPr="00191ACF" w:rsidRDefault="00342EC9" w:rsidP="00342EC9">
      <w:pPr>
        <w:spacing w:line="360" w:lineRule="auto"/>
        <w:jc w:val="both"/>
        <w:rPr>
          <w:color w:val="00436E"/>
        </w:rPr>
      </w:pPr>
      <w:r w:rsidRPr="00191ACF">
        <w:rPr>
          <w:b/>
          <w:color w:val="00436E"/>
        </w:rPr>
        <w:t xml:space="preserve">Step a </w:t>
      </w:r>
    </w:p>
    <w:p w14:paraId="02C15E40" w14:textId="77777777" w:rsidR="000100F1" w:rsidRDefault="00342EC9" w:rsidP="000100F1">
      <w:pPr>
        <w:spacing w:line="360" w:lineRule="auto"/>
        <w:jc w:val="both"/>
      </w:pPr>
      <w:r>
        <w:t>The CMA shall implement the Provider of Last Resort Registrations in the Supply Point Register in accordance with the timetable set out in the report above. The Designated Time will be the point at which the POLR Supply Points are registered.</w:t>
      </w:r>
    </w:p>
    <w:p w14:paraId="4F4967CF" w14:textId="77777777" w:rsidR="000068CA" w:rsidRDefault="000068CA" w:rsidP="000100F1">
      <w:pPr>
        <w:spacing w:line="360" w:lineRule="auto"/>
        <w:jc w:val="both"/>
        <w:rPr>
          <w:b/>
          <w:color w:val="00436E"/>
        </w:rPr>
      </w:pPr>
    </w:p>
    <w:p w14:paraId="4E2050A2" w14:textId="77777777" w:rsidR="00743E02" w:rsidRDefault="00743E02" w:rsidP="000068CA">
      <w:pPr>
        <w:keepLines/>
        <w:widowControl w:val="0"/>
        <w:spacing w:line="360" w:lineRule="auto"/>
        <w:jc w:val="both"/>
        <w:rPr>
          <w:color w:val="FF0000"/>
        </w:rPr>
      </w:pPr>
      <w:r w:rsidRPr="000100F1">
        <w:rPr>
          <w:b/>
          <w:color w:val="00436E"/>
        </w:rPr>
        <w:t>Step b Transfers</w:t>
      </w:r>
      <w:r w:rsidR="000068CA">
        <w:rPr>
          <w:b/>
          <w:color w:val="00436E"/>
        </w:rPr>
        <w:t xml:space="preserve"> Pending at the Designated Time</w:t>
      </w:r>
      <w:r w:rsidRPr="000100F1">
        <w:rPr>
          <w:b/>
          <w:color w:val="00436E"/>
        </w:rPr>
        <w:t xml:space="preserve"> [T011.0, T011.1]</w:t>
      </w:r>
    </w:p>
    <w:p w14:paraId="48C23EED" w14:textId="77777777" w:rsidR="000068CA" w:rsidRPr="00332AC5" w:rsidRDefault="000068CA" w:rsidP="000068CA">
      <w:pPr>
        <w:keepLines/>
        <w:widowControl w:val="0"/>
        <w:spacing w:line="360" w:lineRule="auto"/>
        <w:rPr>
          <w:color w:val="auto"/>
        </w:rPr>
      </w:pPr>
      <w:r w:rsidRPr="00332AC5">
        <w:rPr>
          <w:color w:val="auto"/>
        </w:rPr>
        <w:t>For Designated Times that are on or after the date of the POLR allocation process:</w:t>
      </w:r>
    </w:p>
    <w:p w14:paraId="5EF4EF66" w14:textId="0595FABE" w:rsidR="00743E02" w:rsidRPr="000100F1" w:rsidRDefault="00743E02" w:rsidP="000068CA">
      <w:pPr>
        <w:keepLines/>
        <w:widowControl w:val="0"/>
        <w:numPr>
          <w:ilvl w:val="0"/>
          <w:numId w:val="18"/>
        </w:numPr>
        <w:spacing w:line="360" w:lineRule="auto"/>
      </w:pPr>
      <w:r w:rsidRPr="000100F1">
        <w:t>Any Supply Points for which a transfer is pending, to the Licensed Provider who has been issued with the Termination Notice, with a Registration Start Date that is after the Designated Time will be cancelled and the CMA will send a T011.0 (Notify Cancellation</w:t>
      </w:r>
      <w:r w:rsidR="00FE77F7">
        <w:t xml:space="preserve"> (Incoming)</w:t>
      </w:r>
      <w:r w:rsidRPr="000100F1">
        <w:t>) to that Licensed Provider and a T011.1 (Notify Cancellation</w:t>
      </w:r>
      <w:r w:rsidR="001101B6">
        <w:t xml:space="preserve"> (Outgoing)</w:t>
      </w:r>
      <w:r w:rsidRPr="000100F1">
        <w:t>) to the Outgoing Licensed Provider.</w:t>
      </w:r>
    </w:p>
    <w:p w14:paraId="75910C12" w14:textId="77777777" w:rsidR="00743E02" w:rsidRPr="000100F1" w:rsidRDefault="00743E02" w:rsidP="000068CA">
      <w:pPr>
        <w:keepLines/>
        <w:widowControl w:val="0"/>
        <w:spacing w:line="360" w:lineRule="auto"/>
      </w:pPr>
    </w:p>
    <w:p w14:paraId="5888FD95" w14:textId="77777777" w:rsidR="00743E02" w:rsidRDefault="00743E02" w:rsidP="000068CA">
      <w:pPr>
        <w:keepLines/>
        <w:widowControl w:val="0"/>
        <w:numPr>
          <w:ilvl w:val="0"/>
          <w:numId w:val="18"/>
        </w:numPr>
        <w:spacing w:line="360" w:lineRule="auto"/>
      </w:pPr>
      <w:r w:rsidRPr="000100F1">
        <w:t>Any Supply Points for which a transfer is pending, from the Licensed Provider who has been issued with a Termination Notice, shall be proceed as normal, except where the Registration Start Date is after the Designated Time, in which case, the transfer shall proceed with a Registration Start Date that is equal to the Designated Time.</w:t>
      </w:r>
      <w:r>
        <w:t xml:space="preserve">  </w:t>
      </w:r>
    </w:p>
    <w:p w14:paraId="1A751E77" w14:textId="77777777" w:rsidR="000068CA" w:rsidRDefault="000068CA" w:rsidP="000068CA">
      <w:pPr>
        <w:pStyle w:val="ListParagraph"/>
      </w:pPr>
    </w:p>
    <w:p w14:paraId="1A1E6CD6" w14:textId="77777777" w:rsidR="000068CA" w:rsidRPr="00332AC5" w:rsidRDefault="000068CA" w:rsidP="000068CA">
      <w:pPr>
        <w:keepNext/>
        <w:spacing w:line="360" w:lineRule="auto"/>
        <w:rPr>
          <w:color w:val="auto"/>
        </w:rPr>
      </w:pPr>
      <w:r w:rsidRPr="00332AC5">
        <w:rPr>
          <w:color w:val="auto"/>
        </w:rPr>
        <w:lastRenderedPageBreak/>
        <w:t>For Designated Times that are before the date of the POLR allocation process:</w:t>
      </w:r>
    </w:p>
    <w:p w14:paraId="1C420AA9" w14:textId="35C57F22" w:rsidR="000068CA" w:rsidRPr="00332AC5" w:rsidRDefault="000068CA" w:rsidP="000068CA">
      <w:pPr>
        <w:keepNext/>
        <w:numPr>
          <w:ilvl w:val="0"/>
          <w:numId w:val="19"/>
        </w:numPr>
        <w:spacing w:line="360" w:lineRule="auto"/>
        <w:rPr>
          <w:color w:val="auto"/>
        </w:rPr>
      </w:pPr>
      <w:r w:rsidRPr="00332AC5">
        <w:rPr>
          <w:color w:val="auto"/>
        </w:rPr>
        <w:t>Any Supply Points for which a transfer to the Licensed Provider who has been issued with a Termination Notice is pending will be cancelled and the CMA will send a T011.0 (Notify Cancellation</w:t>
      </w:r>
      <w:r w:rsidR="00BC2608">
        <w:rPr>
          <w:color w:val="auto"/>
        </w:rPr>
        <w:t xml:space="preserve"> (</w:t>
      </w:r>
      <w:r w:rsidR="00B340DC">
        <w:rPr>
          <w:color w:val="auto"/>
        </w:rPr>
        <w:t>Incom</w:t>
      </w:r>
      <w:r w:rsidR="00BC2608">
        <w:rPr>
          <w:color w:val="auto"/>
        </w:rPr>
        <w:t>ing)</w:t>
      </w:r>
      <w:r w:rsidRPr="00332AC5">
        <w:rPr>
          <w:color w:val="auto"/>
        </w:rPr>
        <w:t>) to that Licensed Provider and a T011.1 (Notify Cancellation</w:t>
      </w:r>
      <w:r w:rsidR="00B340DC">
        <w:rPr>
          <w:color w:val="auto"/>
        </w:rPr>
        <w:t xml:space="preserve"> (Outgoing)</w:t>
      </w:r>
      <w:r w:rsidRPr="00332AC5">
        <w:rPr>
          <w:color w:val="auto"/>
        </w:rPr>
        <w:t>) to the Outgoing Licensed Provider.</w:t>
      </w:r>
    </w:p>
    <w:p w14:paraId="2C9FC2B9" w14:textId="77777777" w:rsidR="000068CA" w:rsidRPr="00332AC5" w:rsidRDefault="000068CA" w:rsidP="000068CA">
      <w:pPr>
        <w:keepNext/>
        <w:numPr>
          <w:ilvl w:val="0"/>
          <w:numId w:val="20"/>
        </w:numPr>
        <w:spacing w:line="360" w:lineRule="auto"/>
        <w:rPr>
          <w:color w:val="auto"/>
        </w:rPr>
      </w:pPr>
      <w:r w:rsidRPr="00332AC5">
        <w:rPr>
          <w:color w:val="auto"/>
        </w:rPr>
        <w:t>Any Supply Points for which a transfer to the Licensed Provider who has been issued with a Termination Notice has occurred with an RSD that is on or after the Designated Time should be re-allocated, as part of the PLR allocation process, albeit with an RSD set to the RSD of the original transfer to the Licensed Provider who has been issued with the Termination Notice.</w:t>
      </w:r>
    </w:p>
    <w:p w14:paraId="07FDF812" w14:textId="77777777" w:rsidR="000068CA" w:rsidRPr="00332AC5" w:rsidRDefault="000068CA" w:rsidP="000068CA">
      <w:pPr>
        <w:keepNext/>
        <w:numPr>
          <w:ilvl w:val="0"/>
          <w:numId w:val="20"/>
        </w:numPr>
        <w:spacing w:line="360" w:lineRule="auto"/>
        <w:rPr>
          <w:color w:val="auto"/>
        </w:rPr>
      </w:pPr>
      <w:r w:rsidRPr="00332AC5">
        <w:rPr>
          <w:color w:val="auto"/>
        </w:rPr>
        <w:t xml:space="preserve">Any Supply Points for which a transfer is pending, from the Licensed Provider who has been issued with a Termination Notice, shall proceed with a Registration Start Date that is set to the Designated Time.  </w:t>
      </w:r>
    </w:p>
    <w:p w14:paraId="06DED5EA" w14:textId="77777777" w:rsidR="00743E02" w:rsidRDefault="00743E02" w:rsidP="000100F1">
      <w:pPr>
        <w:keepNext/>
        <w:spacing w:line="360" w:lineRule="auto"/>
        <w:rPr>
          <w:color w:val="FF0000"/>
        </w:rPr>
      </w:pPr>
    </w:p>
    <w:p w14:paraId="2DC12410" w14:textId="74AB0A79" w:rsidR="00743E02" w:rsidRDefault="00743E02" w:rsidP="00332AC5">
      <w:pPr>
        <w:spacing w:line="360" w:lineRule="auto"/>
        <w:jc w:val="both"/>
        <w:rPr>
          <w:color w:val="FF0000"/>
        </w:rPr>
      </w:pPr>
      <w:r w:rsidRPr="000100F1">
        <w:rPr>
          <w:b/>
          <w:color w:val="00436E"/>
        </w:rPr>
        <w:t>Step c Submit Transfer Meter Reads [T005.</w:t>
      </w:r>
      <w:r w:rsidR="00DE1B0A">
        <w:rPr>
          <w:b/>
          <w:color w:val="00436E"/>
        </w:rPr>
        <w:t>1</w:t>
      </w:r>
      <w:r w:rsidRPr="000100F1">
        <w:rPr>
          <w:b/>
          <w:color w:val="00436E"/>
        </w:rPr>
        <w:t>]</w:t>
      </w:r>
    </w:p>
    <w:p w14:paraId="65913A2D" w14:textId="77777777" w:rsidR="00743E02" w:rsidRPr="000100F1" w:rsidRDefault="00743E02" w:rsidP="000100F1">
      <w:pPr>
        <w:spacing w:line="360" w:lineRule="auto"/>
        <w:jc w:val="both"/>
        <w:rPr>
          <w:b/>
          <w:color w:val="00436E"/>
        </w:rPr>
      </w:pPr>
      <w:r w:rsidRPr="000100F1">
        <w:rPr>
          <w:b/>
          <w:color w:val="00436E"/>
        </w:rPr>
        <w:t>Water Services Supply Point which is Metered</w:t>
      </w:r>
    </w:p>
    <w:p w14:paraId="0F71AB50" w14:textId="60BDBCF7" w:rsidR="00743E02" w:rsidRDefault="00743E02" w:rsidP="000100F1">
      <w:pPr>
        <w:keepNext/>
        <w:spacing w:line="360" w:lineRule="auto"/>
      </w:pPr>
      <w:r w:rsidRPr="000100F1">
        <w:t>For each Water Services Supply Point that is metered, the POLR Licensed Provider to whom the Supply Point is allocated will submit a</w:t>
      </w:r>
      <w:r w:rsidR="000068CA">
        <w:t>n Estimated</w:t>
      </w:r>
      <w:r w:rsidRPr="000100F1">
        <w:t xml:space="preserve"> Transfer Read to the CMA, using Data Transaction T005.1 (</w:t>
      </w:r>
      <w:r w:rsidR="00BA69BB">
        <w:t>Submit Meter Read (LP)</w:t>
      </w:r>
      <w:r w:rsidRPr="000100F1">
        <w:t>), in accordance with CSD0202.</w:t>
      </w:r>
    </w:p>
    <w:p w14:paraId="16C5E32C" w14:textId="77777777" w:rsidR="000100F1" w:rsidRPr="000100F1" w:rsidRDefault="000100F1" w:rsidP="000100F1">
      <w:pPr>
        <w:keepNext/>
        <w:spacing w:line="360" w:lineRule="auto"/>
      </w:pPr>
    </w:p>
    <w:p w14:paraId="40A8D0EC" w14:textId="77777777" w:rsidR="00743E02" w:rsidRPr="000100F1" w:rsidRDefault="00743E02" w:rsidP="000100F1">
      <w:pPr>
        <w:spacing w:line="360" w:lineRule="auto"/>
        <w:jc w:val="both"/>
        <w:rPr>
          <w:b/>
          <w:color w:val="00436E"/>
        </w:rPr>
      </w:pPr>
      <w:r w:rsidRPr="000100F1">
        <w:rPr>
          <w:b/>
          <w:color w:val="00436E"/>
        </w:rPr>
        <w:t xml:space="preserve">Sewerage Services Supply Point with a Related Water Supply Meter </w:t>
      </w:r>
    </w:p>
    <w:p w14:paraId="2763C195" w14:textId="6A07370E" w:rsidR="00743E02" w:rsidRPr="000100F1" w:rsidRDefault="00743E02" w:rsidP="000100F1">
      <w:pPr>
        <w:keepNext/>
        <w:spacing w:line="360" w:lineRule="auto"/>
      </w:pPr>
      <w:r w:rsidRPr="000100F1">
        <w:t>For each Sewerage Services Supply Point with a Related Water Services Supply Point that is metered, the POLR Licensed Provider to whom the Supply Point is allocated will request the LP responsible for the Related Water Services Supply Point to submit a</w:t>
      </w:r>
      <w:r w:rsidR="000068CA">
        <w:t>n Estimated</w:t>
      </w:r>
      <w:r w:rsidRPr="000100F1">
        <w:t xml:space="preserve"> Transfer Read to the CMA, using Data Transaction T005.1 (</w:t>
      </w:r>
      <w:r w:rsidR="00BA69BB">
        <w:t>Submit Meter Read (LP)</w:t>
      </w:r>
      <w:r w:rsidRPr="000100F1">
        <w:t>) and the Water Services LP will comply with any such request, in accordance with CSD0202.</w:t>
      </w:r>
    </w:p>
    <w:p w14:paraId="39062E6C" w14:textId="77777777" w:rsidR="00743E02" w:rsidRDefault="00743E02" w:rsidP="00342EC9">
      <w:pPr>
        <w:spacing w:line="360" w:lineRule="auto"/>
        <w:jc w:val="both"/>
        <w:rPr>
          <w:b/>
          <w:color w:val="00436E"/>
        </w:rPr>
      </w:pPr>
    </w:p>
    <w:p w14:paraId="3D2FAF0A" w14:textId="77777777" w:rsidR="00342EC9" w:rsidRPr="00191ACF" w:rsidRDefault="00342EC9" w:rsidP="00342EC9">
      <w:pPr>
        <w:spacing w:line="360" w:lineRule="auto"/>
        <w:jc w:val="both"/>
        <w:rPr>
          <w:b/>
          <w:color w:val="00436E"/>
        </w:rPr>
      </w:pPr>
      <w:r w:rsidRPr="00191ACF">
        <w:rPr>
          <w:b/>
          <w:color w:val="00436E"/>
        </w:rPr>
        <w:t xml:space="preserve">Step </w:t>
      </w:r>
      <w:r w:rsidR="00743E02">
        <w:rPr>
          <w:b/>
          <w:color w:val="00436E"/>
        </w:rPr>
        <w:t>d</w:t>
      </w:r>
      <w:r w:rsidRPr="00191ACF">
        <w:rPr>
          <w:b/>
          <w:color w:val="00436E"/>
        </w:rPr>
        <w:t xml:space="preserve"> (T008.1</w:t>
      </w:r>
      <w:r w:rsidR="007E537D">
        <w:rPr>
          <w:b/>
          <w:color w:val="00436E"/>
        </w:rPr>
        <w:t>, T008.2</w:t>
      </w:r>
      <w:r w:rsidRPr="00191ACF">
        <w:rPr>
          <w:b/>
          <w:color w:val="00436E"/>
        </w:rPr>
        <w:t>)</w:t>
      </w:r>
    </w:p>
    <w:p w14:paraId="695AE93F" w14:textId="35F200B0" w:rsidR="00342EC9" w:rsidRDefault="00342EC9" w:rsidP="00342EC9">
      <w:pPr>
        <w:spacing w:line="360" w:lineRule="auto"/>
        <w:jc w:val="both"/>
      </w:pPr>
      <w:r>
        <w:t>Following the Registration of the POLR Supply Points to a Provider of Last Resort, the CMA will notify the Provider of Last Resort of the Registration for each POLR Supply Point transferred to it, using Data Transaction T008.1 (Notify RSD</w:t>
      </w:r>
      <w:r w:rsidR="00BA69BB">
        <w:t xml:space="preserve"> (Incoming LP)</w:t>
      </w:r>
      <w:r>
        <w:t>)</w:t>
      </w:r>
      <w:r w:rsidR="007E537D">
        <w:t xml:space="preserve"> and Scottish Water, using Data Transaction T008.2 (Notify RSD</w:t>
      </w:r>
      <w:r w:rsidR="00BA69BB">
        <w:t xml:space="preserve"> (SW)</w:t>
      </w:r>
      <w:r w:rsidR="007E537D">
        <w:t>).</w:t>
      </w:r>
      <w:r>
        <w:t xml:space="preserve">  </w:t>
      </w:r>
    </w:p>
    <w:p w14:paraId="5FB31530" w14:textId="77777777" w:rsidR="00342EC9" w:rsidRDefault="00342EC9" w:rsidP="00342EC9">
      <w:pPr>
        <w:spacing w:line="360" w:lineRule="auto"/>
        <w:jc w:val="both"/>
        <w:rPr>
          <w:b/>
          <w:color w:val="333399"/>
        </w:rPr>
      </w:pPr>
    </w:p>
    <w:p w14:paraId="7440C394" w14:textId="537B77F4" w:rsidR="00342EC9" w:rsidRPr="00191ACF" w:rsidRDefault="00342EC9" w:rsidP="00342EC9">
      <w:pPr>
        <w:spacing w:line="360" w:lineRule="auto"/>
        <w:jc w:val="both"/>
        <w:rPr>
          <w:b/>
          <w:color w:val="00436E"/>
        </w:rPr>
      </w:pPr>
      <w:r w:rsidRPr="00191ACF">
        <w:rPr>
          <w:b/>
          <w:color w:val="00436E"/>
        </w:rPr>
        <w:t xml:space="preserve">Step </w:t>
      </w:r>
      <w:r w:rsidR="00743E02">
        <w:rPr>
          <w:b/>
          <w:color w:val="00436E"/>
        </w:rPr>
        <w:t>e</w:t>
      </w:r>
      <w:r w:rsidRPr="00191ACF">
        <w:rPr>
          <w:b/>
          <w:color w:val="00436E"/>
        </w:rPr>
        <w:t xml:space="preserve"> (T019</w:t>
      </w:r>
      <w:r w:rsidR="004D73EF">
        <w:rPr>
          <w:b/>
          <w:color w:val="00436E"/>
        </w:rPr>
        <w:t>.0</w:t>
      </w:r>
      <w:r w:rsidRPr="00191ACF">
        <w:rPr>
          <w:b/>
          <w:color w:val="00436E"/>
        </w:rPr>
        <w:t>, T020</w:t>
      </w:r>
      <w:r w:rsidR="004D73EF">
        <w:rPr>
          <w:b/>
          <w:color w:val="00436E"/>
        </w:rPr>
        <w:t>.0</w:t>
      </w:r>
      <w:r w:rsidRPr="00191ACF">
        <w:rPr>
          <w:b/>
          <w:color w:val="00436E"/>
        </w:rPr>
        <w:t>)</w:t>
      </w:r>
    </w:p>
    <w:p w14:paraId="739BE93E" w14:textId="3E68D958" w:rsidR="00342EC9" w:rsidRDefault="00342EC9" w:rsidP="00342EC9">
      <w:pPr>
        <w:spacing w:before="40" w:line="360" w:lineRule="auto"/>
        <w:jc w:val="both"/>
      </w:pPr>
      <w:r>
        <w:t xml:space="preserve">Following the notification in step </w:t>
      </w:r>
      <w:r w:rsidR="00743E02">
        <w:t>d</w:t>
      </w:r>
      <w:r>
        <w:t>, the CMA will notify the Provider of Last Resort of the SPID Data for each POLR Supply Point transferred to it, using Data Transactions T019.0 (Notify WS SPID Data) and/or T020.0 (Notify SS SPID Data) as appropriate. In addition, the Data Transaction T004.1 (Notify Meter Details) will be sent.</w:t>
      </w:r>
    </w:p>
    <w:p w14:paraId="3F4FDFB1" w14:textId="77777777" w:rsidR="00342EC9" w:rsidRDefault="00342EC9" w:rsidP="00342EC9">
      <w:pPr>
        <w:spacing w:before="100" w:beforeAutospacing="1" w:line="360" w:lineRule="auto"/>
        <w:jc w:val="both"/>
      </w:pPr>
      <w:r>
        <w:lastRenderedPageBreak/>
        <w:t>The following Data Transactions will also be sent if the SPID Data is relevant to the POLR Supply Point:</w:t>
      </w:r>
    </w:p>
    <w:p w14:paraId="76455FFD" w14:textId="31D8006F" w:rsidR="00342EC9" w:rsidRDefault="00342EC9" w:rsidP="00342EC9">
      <w:pPr>
        <w:numPr>
          <w:ilvl w:val="0"/>
          <w:numId w:val="17"/>
        </w:numPr>
        <w:spacing w:before="40" w:line="360" w:lineRule="auto"/>
        <w:jc w:val="both"/>
      </w:pPr>
      <w:r>
        <w:t>T0</w:t>
      </w:r>
      <w:r w:rsidR="009C3B39">
        <w:t>36</w:t>
      </w:r>
      <w:r>
        <w:t>.</w:t>
      </w:r>
      <w:r w:rsidR="009C3B39">
        <w:t>1</w:t>
      </w:r>
      <w:r>
        <w:tab/>
        <w:t>(</w:t>
      </w:r>
      <w:r w:rsidR="009C3B39">
        <w:t xml:space="preserve">Notify </w:t>
      </w:r>
      <w:r>
        <w:t xml:space="preserve">Meter Network </w:t>
      </w:r>
      <w:r w:rsidR="00BA69BB">
        <w:t>Association</w:t>
      </w:r>
      <w:r>
        <w:t>) - sent for SPIDs with meter</w:t>
      </w:r>
      <w:r w:rsidR="009C3B39">
        <w:t xml:space="preserve"> network</w:t>
      </w:r>
      <w:r>
        <w:t xml:space="preserve"> arrangements.</w:t>
      </w:r>
    </w:p>
    <w:p w14:paraId="5E80732E" w14:textId="77777777" w:rsidR="00342EC9" w:rsidRDefault="00342EC9" w:rsidP="00342EC9">
      <w:pPr>
        <w:numPr>
          <w:ilvl w:val="0"/>
          <w:numId w:val="17"/>
        </w:numPr>
        <w:spacing w:before="40" w:line="360" w:lineRule="auto"/>
        <w:jc w:val="both"/>
      </w:pPr>
      <w:r>
        <w:t xml:space="preserve">T029.0 (Notify SPID Special Arrangements) – sent for SPIDs with special arrangements </w:t>
      </w:r>
      <w:r w:rsidR="001A7CDB">
        <w:t>-</w:t>
      </w:r>
      <w:r w:rsidR="009C3B39">
        <w:t xml:space="preserve"> </w:t>
      </w:r>
      <w:r>
        <w:t>see CSD0301 (Data Transaction Catalogue) for details of the type of arrangements included in that Data Transaction.</w:t>
      </w:r>
    </w:p>
    <w:p w14:paraId="00CF98BC" w14:textId="77777777" w:rsidR="00CF4CF4" w:rsidRDefault="00342EC9" w:rsidP="00342EC9">
      <w:pPr>
        <w:numPr>
          <w:ilvl w:val="0"/>
          <w:numId w:val="17"/>
        </w:numPr>
        <w:spacing w:before="40" w:line="360" w:lineRule="auto"/>
        <w:jc w:val="both"/>
      </w:pPr>
      <w:r>
        <w:t>Trade Effluent Services - in the event that any SPID Data relating to Trade Effluent Services is applicable at the Supply Point, this will be notified in accordance with CSD0206 Trade Effluent Services</w:t>
      </w:r>
      <w:r w:rsidR="00CF4CF4">
        <w:t>:</w:t>
      </w:r>
    </w:p>
    <w:p w14:paraId="372322CA" w14:textId="2FDE30F0" w:rsidR="00CF4CF4" w:rsidRPr="00577D3B" w:rsidRDefault="00CF4CF4" w:rsidP="00CF4CF4">
      <w:pPr>
        <w:numPr>
          <w:ilvl w:val="1"/>
          <w:numId w:val="17"/>
        </w:numPr>
      </w:pPr>
      <w:r w:rsidRPr="00577D3B">
        <w:t>T021.1 Notify DPID</w:t>
      </w:r>
    </w:p>
    <w:p w14:paraId="59FA6597" w14:textId="77777777" w:rsidR="00CF4CF4" w:rsidRPr="00577D3B" w:rsidRDefault="00CF4CF4" w:rsidP="00CF4CF4">
      <w:pPr>
        <w:numPr>
          <w:ilvl w:val="1"/>
          <w:numId w:val="17"/>
        </w:numPr>
      </w:pPr>
      <w:r w:rsidRPr="00577D3B">
        <w:t>T023.1 Notify Meter Association</w:t>
      </w:r>
    </w:p>
    <w:p w14:paraId="76183EB9" w14:textId="77777777" w:rsidR="00342EC9" w:rsidRDefault="00342EC9" w:rsidP="00CF4CF4">
      <w:pPr>
        <w:spacing w:before="40" w:line="360" w:lineRule="auto"/>
        <w:ind w:left="700"/>
        <w:jc w:val="both"/>
      </w:pPr>
      <w:r>
        <w:t xml:space="preserve"> </w:t>
      </w:r>
    </w:p>
    <w:p w14:paraId="1B2B3C7D" w14:textId="77777777" w:rsidR="00342EC9" w:rsidRDefault="00342EC9" w:rsidP="00342EC9">
      <w:pPr>
        <w:spacing w:line="360" w:lineRule="auto"/>
        <w:jc w:val="both"/>
        <w:rPr>
          <w:b/>
          <w:color w:val="333399"/>
        </w:rPr>
      </w:pPr>
    </w:p>
    <w:p w14:paraId="64BC55DC" w14:textId="77777777" w:rsidR="00342EC9" w:rsidRPr="00191ACF" w:rsidRDefault="00342EC9" w:rsidP="00342EC9">
      <w:pPr>
        <w:spacing w:line="360" w:lineRule="auto"/>
        <w:jc w:val="both"/>
        <w:rPr>
          <w:b/>
          <w:color w:val="00436E"/>
        </w:rPr>
      </w:pPr>
      <w:r w:rsidRPr="00191ACF">
        <w:rPr>
          <w:b/>
          <w:color w:val="00436E"/>
        </w:rPr>
        <w:t xml:space="preserve">Step </w:t>
      </w:r>
      <w:r w:rsidR="00743E02">
        <w:rPr>
          <w:b/>
          <w:color w:val="00436E"/>
        </w:rPr>
        <w:t>f</w:t>
      </w:r>
      <w:r w:rsidR="003E1615">
        <w:rPr>
          <w:b/>
          <w:color w:val="00436E"/>
        </w:rPr>
        <w:t xml:space="preserve"> (T032.1, T033.1)</w:t>
      </w:r>
    </w:p>
    <w:p w14:paraId="2836B995" w14:textId="46956ED3" w:rsidR="003E1615" w:rsidRDefault="00CF4CF4" w:rsidP="003E1615">
      <w:pPr>
        <w:spacing w:line="360" w:lineRule="auto"/>
        <w:jc w:val="both"/>
      </w:pPr>
      <w:r>
        <w:t>The CMA will notify the Provider of Last Resort of</w:t>
      </w:r>
      <w:r w:rsidDel="000D3000">
        <w:t xml:space="preserve"> </w:t>
      </w:r>
      <w:r>
        <w:t xml:space="preserve">the Customer Name associated with the SPID using Data Transaction </w:t>
      </w:r>
      <w:r w:rsidRPr="000D3000">
        <w:t xml:space="preserve">T032.1 </w:t>
      </w:r>
      <w:r>
        <w:t>(</w:t>
      </w:r>
      <w:r w:rsidR="00BA69BB">
        <w:t xml:space="preserve">Notify </w:t>
      </w:r>
      <w:r w:rsidRPr="000D3000">
        <w:t>Customer Name</w:t>
      </w:r>
      <w:r>
        <w:t>).</w:t>
      </w:r>
      <w:r w:rsidR="003E1615">
        <w:t xml:space="preserve">  The CMA will also notify the Provider of Last Resort of</w:t>
      </w:r>
      <w:r w:rsidR="003E1615" w:rsidDel="000D3000">
        <w:t xml:space="preserve"> </w:t>
      </w:r>
      <w:r w:rsidR="003E1615">
        <w:t xml:space="preserve">the Metered Building Water </w:t>
      </w:r>
      <w:r w:rsidR="00D41AC5">
        <w:t>s</w:t>
      </w:r>
      <w:r w:rsidR="003E1615">
        <w:t xml:space="preserve">tatus associated with the SPID using Data Transaction </w:t>
      </w:r>
      <w:r w:rsidR="003E1615" w:rsidRPr="000D3000">
        <w:t>T03</w:t>
      </w:r>
      <w:r w:rsidR="003E1615">
        <w:t>3</w:t>
      </w:r>
      <w:r w:rsidR="003E1615" w:rsidRPr="000D3000">
        <w:t xml:space="preserve">.1 </w:t>
      </w:r>
      <w:r w:rsidR="003E1615">
        <w:t>(</w:t>
      </w:r>
      <w:r w:rsidR="00744E85" w:rsidRPr="00946213">
        <w:t>Notify Metered Building</w:t>
      </w:r>
      <w:r w:rsidR="00744E85">
        <w:t xml:space="preserve"> Water</w:t>
      </w:r>
      <w:r w:rsidR="003E1615">
        <w:t xml:space="preserve">).  </w:t>
      </w:r>
    </w:p>
    <w:p w14:paraId="567A48BE" w14:textId="77777777" w:rsidR="00743E02" w:rsidRDefault="00743E02" w:rsidP="003E1615">
      <w:pPr>
        <w:spacing w:line="360" w:lineRule="auto"/>
        <w:jc w:val="both"/>
      </w:pPr>
    </w:p>
    <w:p w14:paraId="2C458308" w14:textId="5B7940E2" w:rsidR="00743E02" w:rsidRPr="00332AC5" w:rsidRDefault="00743E02" w:rsidP="00332AC5">
      <w:pPr>
        <w:spacing w:line="360" w:lineRule="auto"/>
        <w:jc w:val="both"/>
        <w:rPr>
          <w:b/>
          <w:color w:val="00436E"/>
        </w:rPr>
      </w:pPr>
      <w:r w:rsidRPr="00332AC5">
        <w:rPr>
          <w:b/>
          <w:color w:val="00436E"/>
        </w:rPr>
        <w:t>Step g Provide Data and Make SPID Trad</w:t>
      </w:r>
      <w:r w:rsidR="00BA69BB">
        <w:rPr>
          <w:b/>
          <w:color w:val="00436E"/>
        </w:rPr>
        <w:t>e</w:t>
      </w:r>
      <w:r w:rsidRPr="00332AC5">
        <w:rPr>
          <w:b/>
          <w:color w:val="00436E"/>
        </w:rPr>
        <w:t>able</w:t>
      </w:r>
    </w:p>
    <w:p w14:paraId="01C093DD" w14:textId="77777777" w:rsidR="00743E02" w:rsidRDefault="00743E02" w:rsidP="00743E02">
      <w:pPr>
        <w:keepNext/>
      </w:pPr>
    </w:p>
    <w:p w14:paraId="53F5437A" w14:textId="55BB06DA" w:rsidR="00743E02" w:rsidRDefault="00743E02" w:rsidP="00743E02">
      <w:pPr>
        <w:spacing w:line="360" w:lineRule="auto"/>
        <w:jc w:val="both"/>
        <w:rPr>
          <w:b/>
          <w:color w:val="333399"/>
        </w:rPr>
      </w:pPr>
      <w:r>
        <w:t>Where a New SPID has been allocated to an LP, such SPID will be registered to that LP</w:t>
      </w:r>
      <w:r w:rsidR="00A20FEF">
        <w:t xml:space="preserve"> </w:t>
      </w:r>
      <w:r>
        <w:t>and data should then be provided by the relevant Trading Party to make the SPID Trad</w:t>
      </w:r>
      <w:r w:rsidR="00BA69BB">
        <w:t>e</w:t>
      </w:r>
      <w:r>
        <w:t>able, in accordance with CSD0101.</w:t>
      </w:r>
    </w:p>
    <w:p w14:paraId="032A7006" w14:textId="77777777" w:rsidR="00CF4CF4" w:rsidRDefault="00CF4CF4" w:rsidP="00CF4CF4">
      <w:pPr>
        <w:spacing w:line="360" w:lineRule="auto"/>
        <w:jc w:val="both"/>
        <w:rPr>
          <w:b/>
          <w:color w:val="333399"/>
        </w:rPr>
      </w:pPr>
    </w:p>
    <w:p w14:paraId="0E18525A" w14:textId="77777777" w:rsidR="00342EC9" w:rsidRDefault="00342EC9" w:rsidP="00342EC9">
      <w:pPr>
        <w:spacing w:line="360" w:lineRule="auto"/>
        <w:jc w:val="both"/>
        <w:rPr>
          <w:b/>
          <w:color w:val="333399"/>
        </w:rPr>
      </w:pPr>
    </w:p>
    <w:p w14:paraId="561BF4B4" w14:textId="77777777" w:rsidR="00342EC9" w:rsidRDefault="00342EC9" w:rsidP="00342EC9">
      <w:pPr>
        <w:spacing w:line="360" w:lineRule="auto"/>
        <w:jc w:val="both"/>
      </w:pPr>
    </w:p>
    <w:p w14:paraId="09877C1B" w14:textId="77777777" w:rsidR="00342EC9" w:rsidRDefault="00342EC9" w:rsidP="00342EC9">
      <w:pPr>
        <w:spacing w:line="360" w:lineRule="auto"/>
        <w:jc w:val="both"/>
      </w:pPr>
    </w:p>
    <w:p w14:paraId="2DB0BBB3" w14:textId="77777777" w:rsidR="00342EC9" w:rsidRPr="00191ACF" w:rsidRDefault="00342EC9" w:rsidP="00342EC9">
      <w:pPr>
        <w:pStyle w:val="Heading2"/>
        <w:spacing w:line="360" w:lineRule="auto"/>
        <w:ind w:hanging="756"/>
        <w:rPr>
          <w:b w:val="0"/>
          <w:i w:val="0"/>
          <w:color w:val="00436E"/>
        </w:rPr>
      </w:pPr>
      <w:r w:rsidRPr="00191ACF">
        <w:rPr>
          <w:b w:val="0"/>
          <w:i w:val="0"/>
          <w:color w:val="00436E"/>
        </w:rPr>
        <w:br w:type="page"/>
      </w:r>
      <w:bookmarkStart w:id="8" w:name="_Toc164655253"/>
      <w:bookmarkStart w:id="9" w:name="_Toc205456081"/>
      <w:r w:rsidRPr="00191ACF">
        <w:rPr>
          <w:b w:val="0"/>
          <w:i w:val="0"/>
          <w:color w:val="00436E"/>
        </w:rPr>
        <w:lastRenderedPageBreak/>
        <w:t>Process Diagram</w:t>
      </w:r>
      <w:bookmarkEnd w:id="8"/>
      <w:bookmarkEnd w:id="9"/>
    </w:p>
    <w:p w14:paraId="701D9C17" w14:textId="77777777" w:rsidR="00342EC9" w:rsidRDefault="002E776C" w:rsidP="00342EC9">
      <w:pPr>
        <w:spacing w:line="360" w:lineRule="auto"/>
      </w:pPr>
      <w:r>
        <w:object w:dxaOrig="9750" w:dyaOrig="12555" w14:anchorId="0FD8D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532.8pt" o:ole="">
            <v:imagedata r:id="rId12" o:title=""/>
          </v:shape>
          <o:OLEObject Type="Embed" ProgID="Visio.Drawing.11" ShapeID="_x0000_i1025" DrawAspect="Content" ObjectID="_1816070076" r:id="rId13"/>
        </w:object>
      </w:r>
    </w:p>
    <w:p w14:paraId="3AFA04EF" w14:textId="77777777" w:rsidR="00342EC9" w:rsidRDefault="00342EC9" w:rsidP="0067484B">
      <w:pPr>
        <w:ind w:firstLine="720"/>
        <w:rPr>
          <w:b/>
          <w:sz w:val="24"/>
        </w:rPr>
      </w:pPr>
    </w:p>
    <w:p w14:paraId="249C11ED" w14:textId="77777777" w:rsidR="00342EC9" w:rsidRDefault="00342EC9" w:rsidP="0067484B">
      <w:pPr>
        <w:ind w:firstLine="720"/>
        <w:rPr>
          <w:b/>
          <w:sz w:val="24"/>
        </w:rPr>
      </w:pPr>
    </w:p>
    <w:p w14:paraId="1268876B" w14:textId="77777777" w:rsidR="00342EC9" w:rsidRPr="007A7CB5" w:rsidRDefault="00342EC9" w:rsidP="0067484B">
      <w:pPr>
        <w:ind w:firstLine="720"/>
        <w:rPr>
          <w:b/>
          <w:sz w:val="24"/>
        </w:rPr>
      </w:pPr>
    </w:p>
    <w:p w14:paraId="4F1FD0F0" w14:textId="77777777" w:rsidR="00342EC9" w:rsidRPr="00191ACF" w:rsidRDefault="00342EC9" w:rsidP="00342EC9">
      <w:pPr>
        <w:pStyle w:val="Heading2"/>
        <w:spacing w:line="360" w:lineRule="auto"/>
        <w:rPr>
          <w:b w:val="0"/>
          <w:i w:val="0"/>
          <w:color w:val="00436E"/>
        </w:rPr>
      </w:pPr>
      <w:bookmarkStart w:id="10" w:name="_Toc164655254"/>
      <w:r>
        <w:rPr>
          <w:b w:val="0"/>
          <w:i w:val="0"/>
          <w:color w:val="00436E"/>
        </w:rPr>
        <w:br w:type="page"/>
      </w:r>
      <w:bookmarkStart w:id="11" w:name="_Toc205456082"/>
      <w:r w:rsidRPr="00191ACF">
        <w:rPr>
          <w:b w:val="0"/>
          <w:i w:val="0"/>
          <w:color w:val="00436E"/>
        </w:rPr>
        <w:lastRenderedPageBreak/>
        <w:t>Interface and Timetable Requirements</w:t>
      </w:r>
      <w:bookmarkEnd w:id="10"/>
      <w:bookmarkEnd w:id="11"/>
    </w:p>
    <w:tbl>
      <w:tblPr>
        <w:tblW w:w="9391" w:type="dxa"/>
        <w:tblInd w:w="-34" w:type="dxa"/>
        <w:tblLook w:val="0000" w:firstRow="0" w:lastRow="0" w:firstColumn="0" w:lastColumn="0" w:noHBand="0" w:noVBand="0"/>
      </w:tblPr>
      <w:tblGrid>
        <w:gridCol w:w="587"/>
        <w:gridCol w:w="464"/>
        <w:gridCol w:w="1284"/>
        <w:gridCol w:w="932"/>
        <w:gridCol w:w="610"/>
        <w:gridCol w:w="1087"/>
        <w:gridCol w:w="1843"/>
        <w:gridCol w:w="661"/>
        <w:gridCol w:w="461"/>
        <w:gridCol w:w="1462"/>
      </w:tblGrid>
      <w:tr w:rsidR="00342EC9" w:rsidRPr="00191ACF" w14:paraId="4F1356D3" w14:textId="77777777" w:rsidTr="003E0E07">
        <w:trPr>
          <w:trHeight w:val="1260"/>
        </w:trPr>
        <w:tc>
          <w:tcPr>
            <w:tcW w:w="537" w:type="dxa"/>
            <w:tcBorders>
              <w:top w:val="single" w:sz="4" w:space="0" w:color="auto"/>
              <w:left w:val="single" w:sz="4" w:space="0" w:color="auto"/>
              <w:bottom w:val="single" w:sz="4" w:space="0" w:color="auto"/>
              <w:right w:val="single" w:sz="4" w:space="0" w:color="auto"/>
            </w:tcBorders>
            <w:shd w:val="clear" w:color="auto" w:fill="E6E6E6"/>
            <w:vAlign w:val="bottom"/>
          </w:tcPr>
          <w:p w14:paraId="129F6274" w14:textId="77777777" w:rsidR="00342EC9" w:rsidRPr="00191ACF" w:rsidRDefault="00342EC9" w:rsidP="00342EC9">
            <w:pPr>
              <w:rPr>
                <w:b/>
                <w:bCs/>
                <w:color w:val="00436E"/>
                <w:sz w:val="18"/>
                <w:szCs w:val="18"/>
              </w:rPr>
            </w:pPr>
            <w:r w:rsidRPr="00191ACF">
              <w:rPr>
                <w:b/>
                <w:bCs/>
                <w:color w:val="00436E"/>
                <w:sz w:val="18"/>
                <w:szCs w:val="18"/>
              </w:rPr>
              <w:t>step ID</w:t>
            </w:r>
          </w:p>
        </w:tc>
        <w:tc>
          <w:tcPr>
            <w:tcW w:w="468" w:type="dxa"/>
            <w:tcBorders>
              <w:top w:val="single" w:sz="4" w:space="0" w:color="auto"/>
              <w:left w:val="nil"/>
              <w:bottom w:val="single" w:sz="4" w:space="0" w:color="auto"/>
              <w:right w:val="single" w:sz="4" w:space="0" w:color="auto"/>
            </w:tcBorders>
            <w:shd w:val="clear" w:color="auto" w:fill="E6E6E6"/>
            <w:textDirection w:val="btLr"/>
            <w:vAlign w:val="bottom"/>
          </w:tcPr>
          <w:p w14:paraId="0790B8C3" w14:textId="77777777" w:rsidR="00342EC9" w:rsidRPr="00191ACF" w:rsidRDefault="00342EC9" w:rsidP="00342EC9">
            <w:pPr>
              <w:rPr>
                <w:b/>
                <w:bCs/>
                <w:color w:val="00436E"/>
                <w:sz w:val="18"/>
                <w:szCs w:val="18"/>
              </w:rPr>
            </w:pPr>
            <w:r w:rsidRPr="00191ACF">
              <w:rPr>
                <w:b/>
                <w:bCs/>
                <w:color w:val="00436E"/>
                <w:sz w:val="18"/>
                <w:szCs w:val="18"/>
              </w:rPr>
              <w:t>Action/ Decision</w:t>
            </w:r>
          </w:p>
        </w:tc>
        <w:tc>
          <w:tcPr>
            <w:tcW w:w="1284" w:type="dxa"/>
            <w:tcBorders>
              <w:top w:val="single" w:sz="4" w:space="0" w:color="auto"/>
              <w:left w:val="nil"/>
              <w:bottom w:val="single" w:sz="4" w:space="0" w:color="auto"/>
              <w:right w:val="single" w:sz="4" w:space="0" w:color="auto"/>
            </w:tcBorders>
            <w:shd w:val="clear" w:color="auto" w:fill="E6E6E6"/>
            <w:vAlign w:val="bottom"/>
          </w:tcPr>
          <w:p w14:paraId="560CC24B" w14:textId="77777777" w:rsidR="00342EC9" w:rsidRPr="00191ACF" w:rsidRDefault="00342EC9" w:rsidP="00342EC9">
            <w:pPr>
              <w:rPr>
                <w:b/>
                <w:bCs/>
                <w:color w:val="00436E"/>
                <w:sz w:val="18"/>
                <w:szCs w:val="18"/>
              </w:rPr>
            </w:pPr>
            <w:r w:rsidRPr="00191ACF">
              <w:rPr>
                <w:b/>
                <w:bCs/>
                <w:color w:val="00436E"/>
                <w:sz w:val="18"/>
                <w:szCs w:val="18"/>
              </w:rPr>
              <w:t>Process Step</w:t>
            </w:r>
          </w:p>
        </w:tc>
        <w:tc>
          <w:tcPr>
            <w:tcW w:w="970" w:type="dxa"/>
            <w:tcBorders>
              <w:top w:val="single" w:sz="4" w:space="0" w:color="auto"/>
              <w:left w:val="nil"/>
              <w:bottom w:val="single" w:sz="4" w:space="0" w:color="auto"/>
              <w:right w:val="single" w:sz="4" w:space="0" w:color="auto"/>
            </w:tcBorders>
            <w:shd w:val="clear" w:color="auto" w:fill="E6E6E6"/>
            <w:vAlign w:val="bottom"/>
          </w:tcPr>
          <w:p w14:paraId="42868C97" w14:textId="77777777" w:rsidR="00342EC9" w:rsidRPr="00191ACF" w:rsidRDefault="00342EC9" w:rsidP="00342EC9">
            <w:pPr>
              <w:rPr>
                <w:b/>
                <w:bCs/>
                <w:color w:val="00436E"/>
                <w:sz w:val="18"/>
                <w:szCs w:val="18"/>
              </w:rPr>
            </w:pPr>
            <w:r w:rsidRPr="00191ACF">
              <w:rPr>
                <w:b/>
                <w:bCs/>
                <w:color w:val="00436E"/>
                <w:sz w:val="18"/>
                <w:szCs w:val="18"/>
              </w:rPr>
              <w:t>From</w:t>
            </w:r>
          </w:p>
        </w:tc>
        <w:tc>
          <w:tcPr>
            <w:tcW w:w="631" w:type="dxa"/>
            <w:tcBorders>
              <w:top w:val="single" w:sz="4" w:space="0" w:color="auto"/>
              <w:left w:val="nil"/>
              <w:bottom w:val="single" w:sz="4" w:space="0" w:color="auto"/>
              <w:right w:val="single" w:sz="4" w:space="0" w:color="auto"/>
            </w:tcBorders>
            <w:shd w:val="clear" w:color="auto" w:fill="E6E6E6"/>
            <w:vAlign w:val="bottom"/>
          </w:tcPr>
          <w:p w14:paraId="3ECC526D" w14:textId="77777777" w:rsidR="00342EC9" w:rsidRPr="00191ACF" w:rsidRDefault="00342EC9" w:rsidP="00342EC9">
            <w:pPr>
              <w:rPr>
                <w:b/>
                <w:bCs/>
                <w:color w:val="00436E"/>
                <w:sz w:val="18"/>
                <w:szCs w:val="18"/>
              </w:rPr>
            </w:pPr>
            <w:r w:rsidRPr="00191ACF">
              <w:rPr>
                <w:b/>
                <w:bCs/>
                <w:color w:val="00436E"/>
                <w:sz w:val="18"/>
                <w:szCs w:val="18"/>
              </w:rPr>
              <w:t>To</w:t>
            </w:r>
          </w:p>
        </w:tc>
        <w:tc>
          <w:tcPr>
            <w:tcW w:w="1087" w:type="dxa"/>
            <w:tcBorders>
              <w:top w:val="single" w:sz="4" w:space="0" w:color="auto"/>
              <w:left w:val="nil"/>
              <w:bottom w:val="single" w:sz="4" w:space="0" w:color="auto"/>
              <w:right w:val="single" w:sz="4" w:space="0" w:color="auto"/>
            </w:tcBorders>
            <w:shd w:val="clear" w:color="auto" w:fill="E6E6E6"/>
            <w:vAlign w:val="bottom"/>
          </w:tcPr>
          <w:p w14:paraId="3F82E3B5" w14:textId="77777777" w:rsidR="00342EC9" w:rsidRPr="00191ACF" w:rsidRDefault="00342EC9" w:rsidP="00342EC9">
            <w:pPr>
              <w:rPr>
                <w:b/>
                <w:bCs/>
                <w:color w:val="00436E"/>
                <w:sz w:val="18"/>
                <w:szCs w:val="18"/>
              </w:rPr>
            </w:pPr>
            <w:r w:rsidRPr="00191ACF">
              <w:rPr>
                <w:b/>
                <w:bCs/>
                <w:color w:val="00436E"/>
                <w:sz w:val="18"/>
                <w:szCs w:val="18"/>
              </w:rPr>
              <w:t>Time parameter</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1B6674DE" w14:textId="77777777" w:rsidR="00342EC9" w:rsidRPr="00191ACF" w:rsidRDefault="00342EC9" w:rsidP="00342EC9">
            <w:pPr>
              <w:rPr>
                <w:b/>
                <w:bCs/>
                <w:color w:val="00436E"/>
                <w:sz w:val="18"/>
                <w:szCs w:val="18"/>
              </w:rPr>
            </w:pPr>
            <w:r>
              <w:rPr>
                <w:b/>
                <w:bCs/>
                <w:color w:val="00436E"/>
                <w:sz w:val="18"/>
                <w:szCs w:val="18"/>
              </w:rPr>
              <w:t>C</w:t>
            </w:r>
            <w:r w:rsidRPr="00191ACF">
              <w:rPr>
                <w:b/>
                <w:bCs/>
                <w:color w:val="00436E"/>
                <w:sz w:val="18"/>
                <w:szCs w:val="18"/>
              </w:rPr>
              <w:t>omments</w:t>
            </w:r>
          </w:p>
        </w:tc>
        <w:tc>
          <w:tcPr>
            <w:tcW w:w="661" w:type="dxa"/>
            <w:tcBorders>
              <w:top w:val="single" w:sz="4" w:space="0" w:color="auto"/>
              <w:left w:val="nil"/>
              <w:bottom w:val="single" w:sz="4" w:space="0" w:color="auto"/>
              <w:right w:val="single" w:sz="4" w:space="0" w:color="auto"/>
            </w:tcBorders>
            <w:shd w:val="clear" w:color="auto" w:fill="E6E6E6"/>
            <w:vAlign w:val="bottom"/>
          </w:tcPr>
          <w:p w14:paraId="449E2185" w14:textId="77777777" w:rsidR="00342EC9" w:rsidRPr="00191ACF" w:rsidRDefault="00342EC9" w:rsidP="00342EC9">
            <w:pPr>
              <w:rPr>
                <w:b/>
                <w:bCs/>
                <w:color w:val="00436E"/>
                <w:sz w:val="18"/>
                <w:szCs w:val="18"/>
              </w:rPr>
            </w:pPr>
            <w:r w:rsidRPr="00191ACF">
              <w:rPr>
                <w:b/>
                <w:bCs/>
                <w:color w:val="00436E"/>
                <w:sz w:val="18"/>
                <w:szCs w:val="18"/>
              </w:rPr>
              <w:t>Mkt code Ref</w:t>
            </w:r>
          </w:p>
        </w:tc>
        <w:tc>
          <w:tcPr>
            <w:tcW w:w="461" w:type="dxa"/>
            <w:tcBorders>
              <w:top w:val="single" w:sz="4" w:space="0" w:color="auto"/>
              <w:left w:val="nil"/>
              <w:bottom w:val="single" w:sz="4" w:space="0" w:color="auto"/>
              <w:right w:val="single" w:sz="4" w:space="0" w:color="auto"/>
            </w:tcBorders>
            <w:shd w:val="clear" w:color="auto" w:fill="E6E6E6"/>
            <w:textDirection w:val="btLr"/>
            <w:vAlign w:val="bottom"/>
          </w:tcPr>
          <w:p w14:paraId="0178BFFD" w14:textId="77777777" w:rsidR="00342EC9" w:rsidRPr="00191ACF" w:rsidRDefault="00342EC9" w:rsidP="00342EC9">
            <w:pPr>
              <w:rPr>
                <w:b/>
                <w:bCs/>
                <w:color w:val="00436E"/>
                <w:sz w:val="18"/>
                <w:szCs w:val="18"/>
              </w:rPr>
            </w:pPr>
            <w:r w:rsidRPr="00191ACF">
              <w:rPr>
                <w:b/>
                <w:bCs/>
                <w:color w:val="00436E"/>
                <w:sz w:val="18"/>
                <w:szCs w:val="18"/>
              </w:rPr>
              <w:t>Clause</w:t>
            </w:r>
          </w:p>
        </w:tc>
        <w:tc>
          <w:tcPr>
            <w:tcW w:w="1449" w:type="dxa"/>
            <w:tcBorders>
              <w:top w:val="single" w:sz="4" w:space="0" w:color="auto"/>
              <w:left w:val="nil"/>
              <w:bottom w:val="single" w:sz="4" w:space="0" w:color="auto"/>
              <w:right w:val="single" w:sz="4" w:space="0" w:color="auto"/>
            </w:tcBorders>
            <w:shd w:val="clear" w:color="auto" w:fill="E6E6E6"/>
            <w:vAlign w:val="bottom"/>
          </w:tcPr>
          <w:p w14:paraId="106A0A21" w14:textId="77777777" w:rsidR="00342EC9" w:rsidRPr="00191ACF" w:rsidRDefault="00342EC9" w:rsidP="00342EC9">
            <w:pPr>
              <w:rPr>
                <w:b/>
                <w:bCs/>
                <w:color w:val="00436E"/>
                <w:sz w:val="18"/>
                <w:szCs w:val="18"/>
              </w:rPr>
            </w:pPr>
            <w:r w:rsidRPr="00191ACF">
              <w:rPr>
                <w:b/>
                <w:bCs/>
                <w:color w:val="00436E"/>
                <w:sz w:val="18"/>
                <w:szCs w:val="18"/>
              </w:rPr>
              <w:t>(indicative) Data T</w:t>
            </w:r>
            <w:r>
              <w:rPr>
                <w:b/>
                <w:bCs/>
                <w:color w:val="00436E"/>
                <w:sz w:val="18"/>
                <w:szCs w:val="18"/>
              </w:rPr>
              <w:t xml:space="preserve">xn </w:t>
            </w:r>
            <w:r w:rsidRPr="00191ACF">
              <w:rPr>
                <w:b/>
                <w:bCs/>
                <w:color w:val="00436E"/>
                <w:sz w:val="18"/>
                <w:szCs w:val="18"/>
              </w:rPr>
              <w:t xml:space="preserve"> ID</w:t>
            </w:r>
          </w:p>
        </w:tc>
      </w:tr>
      <w:tr w:rsidR="00342EC9" w14:paraId="75C9FF78" w14:textId="77777777" w:rsidTr="003E0E07">
        <w:trPr>
          <w:trHeight w:val="510"/>
        </w:trPr>
        <w:tc>
          <w:tcPr>
            <w:tcW w:w="537" w:type="dxa"/>
            <w:tcBorders>
              <w:top w:val="nil"/>
              <w:left w:val="single" w:sz="4" w:space="0" w:color="auto"/>
              <w:bottom w:val="single" w:sz="4" w:space="0" w:color="auto"/>
              <w:right w:val="single" w:sz="4" w:space="0" w:color="auto"/>
            </w:tcBorders>
            <w:vAlign w:val="center"/>
          </w:tcPr>
          <w:p w14:paraId="33F6C2E5" w14:textId="77777777" w:rsidR="00342EC9" w:rsidRDefault="00342EC9" w:rsidP="00342EC9">
            <w:pPr>
              <w:spacing w:before="60" w:after="60"/>
              <w:contextualSpacing/>
            </w:pPr>
            <w:r>
              <w:t>a</w:t>
            </w:r>
          </w:p>
        </w:tc>
        <w:tc>
          <w:tcPr>
            <w:tcW w:w="468" w:type="dxa"/>
            <w:tcBorders>
              <w:top w:val="nil"/>
              <w:left w:val="nil"/>
              <w:bottom w:val="single" w:sz="4" w:space="0" w:color="auto"/>
              <w:right w:val="single" w:sz="4" w:space="0" w:color="auto"/>
            </w:tcBorders>
            <w:vAlign w:val="center"/>
          </w:tcPr>
          <w:p w14:paraId="1C9F8C15" w14:textId="77777777" w:rsidR="00342EC9" w:rsidRDefault="00342EC9" w:rsidP="00342EC9">
            <w:pPr>
              <w:spacing w:before="60" w:after="60"/>
              <w:contextualSpacing/>
            </w:pPr>
            <w:r>
              <w:t>S</w:t>
            </w:r>
          </w:p>
        </w:tc>
        <w:tc>
          <w:tcPr>
            <w:tcW w:w="1284" w:type="dxa"/>
            <w:tcBorders>
              <w:top w:val="nil"/>
              <w:left w:val="nil"/>
              <w:bottom w:val="single" w:sz="4" w:space="0" w:color="auto"/>
              <w:right w:val="single" w:sz="4" w:space="0" w:color="auto"/>
            </w:tcBorders>
            <w:vAlign w:val="center"/>
          </w:tcPr>
          <w:p w14:paraId="2FCDC0A5" w14:textId="77777777" w:rsidR="00342EC9" w:rsidRDefault="00342EC9" w:rsidP="00342EC9">
            <w:pPr>
              <w:spacing w:before="60" w:after="60"/>
              <w:contextualSpacing/>
            </w:pPr>
            <w:r>
              <w:t>Allocate and Register POLRs to POLR Supply Points</w:t>
            </w:r>
          </w:p>
        </w:tc>
        <w:tc>
          <w:tcPr>
            <w:tcW w:w="970" w:type="dxa"/>
            <w:tcBorders>
              <w:top w:val="nil"/>
              <w:left w:val="nil"/>
              <w:bottom w:val="single" w:sz="4" w:space="0" w:color="auto"/>
              <w:right w:val="single" w:sz="4" w:space="0" w:color="auto"/>
            </w:tcBorders>
            <w:vAlign w:val="center"/>
          </w:tcPr>
          <w:p w14:paraId="03644A91" w14:textId="77777777" w:rsidR="00342EC9" w:rsidRDefault="00342EC9" w:rsidP="00342EC9">
            <w:pPr>
              <w:spacing w:before="60" w:after="60"/>
              <w:contextualSpacing/>
            </w:pPr>
          </w:p>
        </w:tc>
        <w:tc>
          <w:tcPr>
            <w:tcW w:w="631" w:type="dxa"/>
            <w:tcBorders>
              <w:top w:val="nil"/>
              <w:left w:val="nil"/>
              <w:bottom w:val="single" w:sz="4" w:space="0" w:color="auto"/>
              <w:right w:val="single" w:sz="4" w:space="0" w:color="auto"/>
            </w:tcBorders>
            <w:vAlign w:val="center"/>
          </w:tcPr>
          <w:p w14:paraId="398D613C" w14:textId="77777777" w:rsidR="00342EC9" w:rsidRDefault="00342EC9" w:rsidP="00342EC9">
            <w:pPr>
              <w:spacing w:before="60" w:after="60"/>
              <w:contextualSpacing/>
            </w:pPr>
          </w:p>
        </w:tc>
        <w:tc>
          <w:tcPr>
            <w:tcW w:w="1087" w:type="dxa"/>
            <w:tcBorders>
              <w:top w:val="nil"/>
              <w:left w:val="nil"/>
              <w:bottom w:val="single" w:sz="4" w:space="0" w:color="auto"/>
              <w:right w:val="single" w:sz="4" w:space="0" w:color="auto"/>
            </w:tcBorders>
            <w:vAlign w:val="center"/>
          </w:tcPr>
          <w:p w14:paraId="7FD81C5A" w14:textId="77777777" w:rsidR="00342EC9" w:rsidRDefault="00342EC9" w:rsidP="00342EC9">
            <w:pPr>
              <w:spacing w:before="60" w:after="60"/>
              <w:contextualSpacing/>
            </w:pPr>
            <w:r>
              <w:t>As allocation decision</w:t>
            </w:r>
          </w:p>
        </w:tc>
        <w:tc>
          <w:tcPr>
            <w:tcW w:w="1843" w:type="dxa"/>
            <w:tcBorders>
              <w:top w:val="nil"/>
              <w:left w:val="nil"/>
              <w:bottom w:val="single" w:sz="4" w:space="0" w:color="auto"/>
              <w:right w:val="single" w:sz="4" w:space="0" w:color="auto"/>
            </w:tcBorders>
            <w:vAlign w:val="center"/>
          </w:tcPr>
          <w:p w14:paraId="20C49591" w14:textId="77777777" w:rsidR="00342EC9" w:rsidRDefault="00342EC9" w:rsidP="00342EC9">
            <w:pPr>
              <w:spacing w:before="60" w:after="60"/>
              <w:contextualSpacing/>
            </w:pPr>
            <w:r>
              <w:t>Designated Time to be used by the CMA in Registration and the timeline for implementing the Transfer</w:t>
            </w:r>
          </w:p>
        </w:tc>
        <w:tc>
          <w:tcPr>
            <w:tcW w:w="661" w:type="dxa"/>
            <w:tcBorders>
              <w:top w:val="nil"/>
              <w:left w:val="nil"/>
              <w:bottom w:val="single" w:sz="4" w:space="0" w:color="auto"/>
              <w:right w:val="single" w:sz="4" w:space="0" w:color="auto"/>
            </w:tcBorders>
            <w:vAlign w:val="center"/>
          </w:tcPr>
          <w:p w14:paraId="30AAB2AB" w14:textId="77777777" w:rsidR="00342EC9" w:rsidRDefault="00342EC9" w:rsidP="00342EC9">
            <w:pPr>
              <w:spacing w:before="60" w:after="60"/>
              <w:contextualSpacing/>
            </w:pPr>
            <w:r>
              <w:t>5.3.6</w:t>
            </w:r>
          </w:p>
        </w:tc>
        <w:tc>
          <w:tcPr>
            <w:tcW w:w="461" w:type="dxa"/>
            <w:tcBorders>
              <w:top w:val="nil"/>
              <w:left w:val="nil"/>
              <w:bottom w:val="single" w:sz="4" w:space="0" w:color="auto"/>
              <w:right w:val="single" w:sz="4" w:space="0" w:color="auto"/>
            </w:tcBorders>
            <w:vAlign w:val="center"/>
          </w:tcPr>
          <w:p w14:paraId="1F951F8B" w14:textId="77777777" w:rsidR="00342EC9" w:rsidRDefault="00342EC9" w:rsidP="00342EC9">
            <w:pPr>
              <w:spacing w:before="60" w:after="60"/>
              <w:contextualSpacing/>
            </w:pPr>
            <w:r>
              <w:t>(i) (b)</w:t>
            </w:r>
          </w:p>
        </w:tc>
        <w:tc>
          <w:tcPr>
            <w:tcW w:w="1449" w:type="dxa"/>
            <w:tcBorders>
              <w:top w:val="nil"/>
              <w:left w:val="nil"/>
              <w:bottom w:val="single" w:sz="4" w:space="0" w:color="auto"/>
              <w:right w:val="single" w:sz="4" w:space="0" w:color="auto"/>
            </w:tcBorders>
            <w:vAlign w:val="center"/>
          </w:tcPr>
          <w:p w14:paraId="36E7CDAC" w14:textId="77777777" w:rsidR="00342EC9" w:rsidRDefault="00342EC9" w:rsidP="00342EC9">
            <w:pPr>
              <w:spacing w:before="60" w:after="60"/>
              <w:contextualSpacing/>
            </w:pPr>
            <w:r>
              <w:t>CMA report</w:t>
            </w:r>
          </w:p>
        </w:tc>
      </w:tr>
      <w:tr w:rsidR="00DE238A" w14:paraId="7D3BD540"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615AA371" w14:textId="77777777" w:rsidR="00DE238A" w:rsidRDefault="00DE238A" w:rsidP="00342EC9">
            <w:pPr>
              <w:spacing w:before="60" w:after="60"/>
              <w:contextualSpacing/>
            </w:pPr>
            <w:r>
              <w:t>b</w:t>
            </w:r>
          </w:p>
        </w:tc>
        <w:tc>
          <w:tcPr>
            <w:tcW w:w="468" w:type="dxa"/>
            <w:tcBorders>
              <w:top w:val="single" w:sz="4" w:space="0" w:color="auto"/>
              <w:left w:val="nil"/>
              <w:bottom w:val="single" w:sz="4" w:space="0" w:color="auto"/>
              <w:right w:val="single" w:sz="4" w:space="0" w:color="auto"/>
            </w:tcBorders>
            <w:vAlign w:val="center"/>
          </w:tcPr>
          <w:p w14:paraId="6D3D01D6" w14:textId="77777777" w:rsidR="00DE238A" w:rsidRDefault="00DE238A" w:rsidP="00342EC9">
            <w:pPr>
              <w:spacing w:before="60" w:after="60"/>
              <w:contextualSpacing/>
            </w:pPr>
          </w:p>
        </w:tc>
        <w:tc>
          <w:tcPr>
            <w:tcW w:w="1284" w:type="dxa"/>
            <w:tcBorders>
              <w:top w:val="single" w:sz="4" w:space="0" w:color="auto"/>
              <w:left w:val="nil"/>
              <w:bottom w:val="single" w:sz="4" w:space="0" w:color="auto"/>
              <w:right w:val="single" w:sz="4" w:space="0" w:color="auto"/>
            </w:tcBorders>
            <w:vAlign w:val="center"/>
          </w:tcPr>
          <w:p w14:paraId="587C5C23" w14:textId="77777777" w:rsidR="00DE238A" w:rsidRDefault="00DE238A" w:rsidP="00342EC9">
            <w:pPr>
              <w:spacing w:before="60" w:after="60"/>
              <w:contextualSpacing/>
            </w:pPr>
          </w:p>
        </w:tc>
        <w:tc>
          <w:tcPr>
            <w:tcW w:w="970" w:type="dxa"/>
            <w:tcBorders>
              <w:top w:val="single" w:sz="4" w:space="0" w:color="auto"/>
              <w:left w:val="nil"/>
              <w:bottom w:val="single" w:sz="4" w:space="0" w:color="auto"/>
              <w:right w:val="single" w:sz="4" w:space="0" w:color="auto"/>
            </w:tcBorders>
            <w:vAlign w:val="center"/>
          </w:tcPr>
          <w:p w14:paraId="35E78C0C" w14:textId="77777777" w:rsidR="00DE238A" w:rsidRDefault="00DE238A" w:rsidP="00342EC9">
            <w:pPr>
              <w:spacing w:before="60" w:after="60"/>
              <w:contextualSpacing/>
            </w:pPr>
          </w:p>
        </w:tc>
        <w:tc>
          <w:tcPr>
            <w:tcW w:w="631" w:type="dxa"/>
            <w:tcBorders>
              <w:top w:val="single" w:sz="4" w:space="0" w:color="auto"/>
              <w:left w:val="nil"/>
              <w:bottom w:val="single" w:sz="4" w:space="0" w:color="auto"/>
              <w:right w:val="single" w:sz="4" w:space="0" w:color="auto"/>
            </w:tcBorders>
            <w:vAlign w:val="center"/>
          </w:tcPr>
          <w:p w14:paraId="0EF48054" w14:textId="77777777" w:rsidR="00DE238A" w:rsidRDefault="00DE238A" w:rsidP="00342EC9">
            <w:pPr>
              <w:spacing w:before="60" w:after="60"/>
              <w:contextualSpacing/>
            </w:pPr>
          </w:p>
        </w:tc>
        <w:tc>
          <w:tcPr>
            <w:tcW w:w="1087" w:type="dxa"/>
            <w:tcBorders>
              <w:top w:val="single" w:sz="4" w:space="0" w:color="auto"/>
              <w:left w:val="nil"/>
              <w:bottom w:val="single" w:sz="4" w:space="0" w:color="auto"/>
              <w:right w:val="single" w:sz="4" w:space="0" w:color="auto"/>
            </w:tcBorders>
            <w:vAlign w:val="center"/>
          </w:tcPr>
          <w:p w14:paraId="54EBD36E" w14:textId="77777777" w:rsidR="00DE238A" w:rsidRDefault="00DE238A"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761B16A6" w14:textId="77777777" w:rsidR="00DE238A" w:rsidRDefault="00DE238A"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0840C988" w14:textId="77777777" w:rsidR="00DE238A" w:rsidRDefault="00DE238A"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3880172F" w14:textId="77777777" w:rsidR="00DE238A" w:rsidRDefault="00DE238A"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2506496E" w14:textId="77777777" w:rsidR="00DE238A" w:rsidRDefault="00DE238A" w:rsidP="00342EC9">
            <w:pPr>
              <w:spacing w:before="60" w:after="60"/>
              <w:contextualSpacing/>
            </w:pPr>
          </w:p>
        </w:tc>
      </w:tr>
      <w:tr w:rsidR="00DE238A" w14:paraId="0BCEBC63"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7B7105B6" w14:textId="77777777" w:rsidR="00DE238A" w:rsidRDefault="00DE238A" w:rsidP="00342EC9">
            <w:pPr>
              <w:spacing w:before="60" w:after="60"/>
              <w:contextualSpacing/>
            </w:pPr>
            <w:r>
              <w:t>c</w:t>
            </w:r>
          </w:p>
        </w:tc>
        <w:tc>
          <w:tcPr>
            <w:tcW w:w="468" w:type="dxa"/>
            <w:tcBorders>
              <w:top w:val="single" w:sz="4" w:space="0" w:color="auto"/>
              <w:left w:val="nil"/>
              <w:bottom w:val="single" w:sz="4" w:space="0" w:color="auto"/>
              <w:right w:val="single" w:sz="4" w:space="0" w:color="auto"/>
            </w:tcBorders>
            <w:vAlign w:val="center"/>
          </w:tcPr>
          <w:p w14:paraId="39F514EC" w14:textId="77777777" w:rsidR="00DE238A" w:rsidRDefault="00DE238A" w:rsidP="00342EC9">
            <w:pPr>
              <w:spacing w:before="60" w:after="60"/>
              <w:contextualSpacing/>
            </w:pPr>
          </w:p>
        </w:tc>
        <w:tc>
          <w:tcPr>
            <w:tcW w:w="1284" w:type="dxa"/>
            <w:tcBorders>
              <w:top w:val="single" w:sz="4" w:space="0" w:color="auto"/>
              <w:left w:val="nil"/>
              <w:bottom w:val="single" w:sz="4" w:space="0" w:color="auto"/>
              <w:right w:val="single" w:sz="4" w:space="0" w:color="auto"/>
            </w:tcBorders>
            <w:vAlign w:val="center"/>
          </w:tcPr>
          <w:p w14:paraId="0A307AAE" w14:textId="77777777" w:rsidR="00DE238A" w:rsidRDefault="00DE238A" w:rsidP="00342EC9">
            <w:pPr>
              <w:spacing w:before="60" w:after="60"/>
              <w:contextualSpacing/>
            </w:pPr>
          </w:p>
        </w:tc>
        <w:tc>
          <w:tcPr>
            <w:tcW w:w="970" w:type="dxa"/>
            <w:tcBorders>
              <w:top w:val="single" w:sz="4" w:space="0" w:color="auto"/>
              <w:left w:val="nil"/>
              <w:bottom w:val="single" w:sz="4" w:space="0" w:color="auto"/>
              <w:right w:val="single" w:sz="4" w:space="0" w:color="auto"/>
            </w:tcBorders>
            <w:vAlign w:val="center"/>
          </w:tcPr>
          <w:p w14:paraId="00DF09A1" w14:textId="77777777" w:rsidR="00DE238A" w:rsidRDefault="00DE238A" w:rsidP="00342EC9">
            <w:pPr>
              <w:spacing w:before="60" w:after="60"/>
              <w:contextualSpacing/>
            </w:pPr>
          </w:p>
        </w:tc>
        <w:tc>
          <w:tcPr>
            <w:tcW w:w="631" w:type="dxa"/>
            <w:tcBorders>
              <w:top w:val="single" w:sz="4" w:space="0" w:color="auto"/>
              <w:left w:val="nil"/>
              <w:bottom w:val="single" w:sz="4" w:space="0" w:color="auto"/>
              <w:right w:val="single" w:sz="4" w:space="0" w:color="auto"/>
            </w:tcBorders>
            <w:vAlign w:val="center"/>
          </w:tcPr>
          <w:p w14:paraId="0781239C" w14:textId="77777777" w:rsidR="00DE238A" w:rsidRDefault="00DE238A" w:rsidP="00342EC9">
            <w:pPr>
              <w:spacing w:before="60" w:after="60"/>
              <w:contextualSpacing/>
            </w:pPr>
          </w:p>
        </w:tc>
        <w:tc>
          <w:tcPr>
            <w:tcW w:w="1087" w:type="dxa"/>
            <w:tcBorders>
              <w:top w:val="single" w:sz="4" w:space="0" w:color="auto"/>
              <w:left w:val="nil"/>
              <w:bottom w:val="single" w:sz="4" w:space="0" w:color="auto"/>
              <w:right w:val="single" w:sz="4" w:space="0" w:color="auto"/>
            </w:tcBorders>
            <w:vAlign w:val="center"/>
          </w:tcPr>
          <w:p w14:paraId="003FBB0B" w14:textId="77777777" w:rsidR="00DE238A" w:rsidRDefault="00DE238A"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27F749C9" w14:textId="77777777" w:rsidR="00DE238A" w:rsidRDefault="00DE238A"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54D6695E" w14:textId="77777777" w:rsidR="00DE238A" w:rsidRDefault="00DE238A"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4095145A" w14:textId="77777777" w:rsidR="00DE238A" w:rsidRDefault="00DE238A"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323A90B8" w14:textId="77777777" w:rsidR="00DE238A" w:rsidRDefault="00DE238A" w:rsidP="00342EC9">
            <w:pPr>
              <w:spacing w:before="60" w:after="60"/>
              <w:contextualSpacing/>
            </w:pPr>
          </w:p>
        </w:tc>
      </w:tr>
      <w:tr w:rsidR="00342EC9" w14:paraId="13B19885"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151DD7C4" w14:textId="77777777" w:rsidR="00342EC9" w:rsidRDefault="00DE238A" w:rsidP="00342EC9">
            <w:pPr>
              <w:spacing w:before="60" w:after="60"/>
              <w:contextualSpacing/>
            </w:pPr>
            <w:r>
              <w:t>d</w:t>
            </w:r>
          </w:p>
        </w:tc>
        <w:tc>
          <w:tcPr>
            <w:tcW w:w="468" w:type="dxa"/>
            <w:tcBorders>
              <w:top w:val="single" w:sz="4" w:space="0" w:color="auto"/>
              <w:left w:val="nil"/>
              <w:bottom w:val="single" w:sz="4" w:space="0" w:color="auto"/>
              <w:right w:val="single" w:sz="4" w:space="0" w:color="auto"/>
            </w:tcBorders>
            <w:vAlign w:val="center"/>
          </w:tcPr>
          <w:p w14:paraId="34EB3DB7" w14:textId="77777777" w:rsidR="00342EC9" w:rsidRDefault="00342EC9"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3FAB6235" w14:textId="77777777" w:rsidR="00342EC9" w:rsidRDefault="00342EC9" w:rsidP="00342EC9">
            <w:pPr>
              <w:spacing w:before="60" w:after="60"/>
              <w:contextualSpacing/>
            </w:pPr>
            <w:r>
              <w:t>Notify POLR of Registration to SPID &amp; RSD</w:t>
            </w:r>
          </w:p>
        </w:tc>
        <w:tc>
          <w:tcPr>
            <w:tcW w:w="970" w:type="dxa"/>
            <w:tcBorders>
              <w:top w:val="single" w:sz="4" w:space="0" w:color="auto"/>
              <w:left w:val="nil"/>
              <w:bottom w:val="single" w:sz="4" w:space="0" w:color="auto"/>
              <w:right w:val="single" w:sz="4" w:space="0" w:color="auto"/>
            </w:tcBorders>
            <w:vAlign w:val="center"/>
          </w:tcPr>
          <w:p w14:paraId="2CE36518" w14:textId="77777777" w:rsidR="00342EC9" w:rsidRDefault="00342EC9" w:rsidP="00342EC9">
            <w:pPr>
              <w:spacing w:before="60" w:after="60"/>
              <w:contextualSpacing/>
            </w:pPr>
            <w:r>
              <w:t>CMA</w:t>
            </w:r>
          </w:p>
        </w:tc>
        <w:tc>
          <w:tcPr>
            <w:tcW w:w="631" w:type="dxa"/>
            <w:tcBorders>
              <w:top w:val="single" w:sz="4" w:space="0" w:color="auto"/>
              <w:left w:val="nil"/>
              <w:bottom w:val="single" w:sz="4" w:space="0" w:color="auto"/>
              <w:right w:val="single" w:sz="4" w:space="0" w:color="auto"/>
            </w:tcBorders>
            <w:vAlign w:val="center"/>
          </w:tcPr>
          <w:p w14:paraId="2AAA1B64" w14:textId="77777777" w:rsidR="00342EC9" w:rsidRDefault="00342EC9" w:rsidP="00342EC9">
            <w:pPr>
              <w:spacing w:before="60" w:after="60"/>
              <w:contextualSpacing/>
            </w:pPr>
            <w:r>
              <w:t>LP</w:t>
            </w:r>
          </w:p>
        </w:tc>
        <w:tc>
          <w:tcPr>
            <w:tcW w:w="1087" w:type="dxa"/>
            <w:tcBorders>
              <w:top w:val="single" w:sz="4" w:space="0" w:color="auto"/>
              <w:left w:val="nil"/>
              <w:bottom w:val="single" w:sz="4" w:space="0" w:color="auto"/>
              <w:right w:val="single" w:sz="4" w:space="0" w:color="auto"/>
            </w:tcBorders>
            <w:vAlign w:val="center"/>
          </w:tcPr>
          <w:p w14:paraId="5AE9A4B7" w14:textId="77777777" w:rsidR="00342EC9" w:rsidRDefault="00342EC9"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5060F511" w14:textId="77777777" w:rsidR="00342EC9" w:rsidRDefault="00342EC9"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32A67F4B" w14:textId="77777777" w:rsidR="00342EC9" w:rsidRDefault="00342EC9"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386E2C39" w14:textId="77777777" w:rsidR="00342EC9" w:rsidRDefault="00342EC9"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75A36796" w14:textId="77777777" w:rsidR="00342EC9" w:rsidRDefault="00342EC9" w:rsidP="00342EC9">
            <w:pPr>
              <w:spacing w:before="60" w:after="60"/>
              <w:contextualSpacing/>
            </w:pPr>
            <w:r>
              <w:t>T008.1</w:t>
            </w:r>
          </w:p>
          <w:p w14:paraId="18C9E061" w14:textId="77777777" w:rsidR="009C3B39" w:rsidRDefault="009C3B39" w:rsidP="00342EC9">
            <w:pPr>
              <w:spacing w:before="60" w:after="60"/>
              <w:contextualSpacing/>
            </w:pPr>
            <w:r>
              <w:t>T008.2</w:t>
            </w:r>
          </w:p>
        </w:tc>
      </w:tr>
      <w:tr w:rsidR="00342EC9" w14:paraId="42E0D1B8"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1F34F166" w14:textId="77777777" w:rsidR="00342EC9" w:rsidRDefault="00DE238A" w:rsidP="00342EC9">
            <w:pPr>
              <w:spacing w:before="60" w:after="60"/>
              <w:contextualSpacing/>
            </w:pPr>
            <w:r>
              <w:t>e</w:t>
            </w:r>
          </w:p>
        </w:tc>
        <w:tc>
          <w:tcPr>
            <w:tcW w:w="468" w:type="dxa"/>
            <w:tcBorders>
              <w:top w:val="single" w:sz="4" w:space="0" w:color="auto"/>
              <w:left w:val="nil"/>
              <w:bottom w:val="single" w:sz="4" w:space="0" w:color="auto"/>
              <w:right w:val="single" w:sz="4" w:space="0" w:color="auto"/>
            </w:tcBorders>
            <w:vAlign w:val="center"/>
          </w:tcPr>
          <w:p w14:paraId="4D1D89AE" w14:textId="77777777" w:rsidR="00342EC9" w:rsidRDefault="00342EC9"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0137B7D3" w14:textId="77777777" w:rsidR="00342EC9" w:rsidRDefault="00342EC9" w:rsidP="00342EC9">
            <w:pPr>
              <w:spacing w:before="60" w:after="60"/>
              <w:contextualSpacing/>
            </w:pPr>
            <w:r>
              <w:t>POLR updates records</w:t>
            </w:r>
          </w:p>
        </w:tc>
        <w:tc>
          <w:tcPr>
            <w:tcW w:w="970" w:type="dxa"/>
            <w:tcBorders>
              <w:top w:val="single" w:sz="4" w:space="0" w:color="auto"/>
              <w:left w:val="nil"/>
              <w:bottom w:val="single" w:sz="4" w:space="0" w:color="auto"/>
              <w:right w:val="single" w:sz="4" w:space="0" w:color="auto"/>
            </w:tcBorders>
            <w:vAlign w:val="center"/>
          </w:tcPr>
          <w:p w14:paraId="5193C470" w14:textId="77777777" w:rsidR="00342EC9" w:rsidRDefault="00342EC9" w:rsidP="00342EC9">
            <w:pPr>
              <w:spacing w:before="60" w:after="60"/>
              <w:contextualSpacing/>
            </w:pPr>
          </w:p>
        </w:tc>
        <w:tc>
          <w:tcPr>
            <w:tcW w:w="631" w:type="dxa"/>
            <w:tcBorders>
              <w:top w:val="single" w:sz="4" w:space="0" w:color="auto"/>
              <w:left w:val="nil"/>
              <w:bottom w:val="single" w:sz="4" w:space="0" w:color="auto"/>
              <w:right w:val="single" w:sz="4" w:space="0" w:color="auto"/>
            </w:tcBorders>
            <w:vAlign w:val="center"/>
          </w:tcPr>
          <w:p w14:paraId="2CE3CBAA" w14:textId="77777777" w:rsidR="00342EC9" w:rsidRDefault="00342EC9" w:rsidP="00342EC9">
            <w:pPr>
              <w:spacing w:before="60" w:after="60"/>
              <w:contextualSpacing/>
            </w:pPr>
          </w:p>
        </w:tc>
        <w:tc>
          <w:tcPr>
            <w:tcW w:w="1087" w:type="dxa"/>
            <w:tcBorders>
              <w:top w:val="single" w:sz="4" w:space="0" w:color="auto"/>
              <w:left w:val="nil"/>
              <w:bottom w:val="single" w:sz="4" w:space="0" w:color="auto"/>
              <w:right w:val="single" w:sz="4" w:space="0" w:color="auto"/>
            </w:tcBorders>
            <w:vAlign w:val="center"/>
          </w:tcPr>
          <w:p w14:paraId="3A0908EF" w14:textId="77777777" w:rsidR="00342EC9" w:rsidRDefault="00342EC9"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07A879F1" w14:textId="77777777" w:rsidR="00342EC9" w:rsidRDefault="00342EC9" w:rsidP="00342EC9">
            <w:pPr>
              <w:spacing w:before="60" w:after="60"/>
              <w:contextualSpacing/>
            </w:pPr>
            <w:r>
              <w:t>The Allocation Process may determine certain actions at this point for an LP</w:t>
            </w:r>
          </w:p>
        </w:tc>
        <w:tc>
          <w:tcPr>
            <w:tcW w:w="661" w:type="dxa"/>
            <w:tcBorders>
              <w:top w:val="single" w:sz="4" w:space="0" w:color="auto"/>
              <w:left w:val="nil"/>
              <w:bottom w:val="single" w:sz="4" w:space="0" w:color="auto"/>
              <w:right w:val="single" w:sz="4" w:space="0" w:color="auto"/>
            </w:tcBorders>
            <w:vAlign w:val="center"/>
          </w:tcPr>
          <w:p w14:paraId="655AC01B" w14:textId="77777777" w:rsidR="00342EC9" w:rsidRDefault="00342EC9"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6588B66E" w14:textId="77777777" w:rsidR="00342EC9" w:rsidRDefault="00342EC9"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48CB8602" w14:textId="77777777" w:rsidR="00342EC9" w:rsidRDefault="00342EC9" w:rsidP="00342EC9">
            <w:pPr>
              <w:spacing w:before="60" w:after="60"/>
              <w:contextualSpacing/>
            </w:pPr>
          </w:p>
        </w:tc>
      </w:tr>
      <w:tr w:rsidR="001A7CDB" w:rsidRPr="00291797" w14:paraId="749A88C7"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45DA5543" w14:textId="77777777" w:rsidR="001A7CDB" w:rsidRDefault="00DE238A" w:rsidP="00342EC9">
            <w:pPr>
              <w:spacing w:before="60" w:after="60"/>
              <w:contextualSpacing/>
            </w:pPr>
            <w:r>
              <w:t>f</w:t>
            </w:r>
          </w:p>
        </w:tc>
        <w:tc>
          <w:tcPr>
            <w:tcW w:w="468" w:type="dxa"/>
            <w:tcBorders>
              <w:top w:val="single" w:sz="4" w:space="0" w:color="auto"/>
              <w:left w:val="nil"/>
              <w:bottom w:val="single" w:sz="4" w:space="0" w:color="auto"/>
              <w:right w:val="single" w:sz="4" w:space="0" w:color="auto"/>
            </w:tcBorders>
            <w:vAlign w:val="center"/>
          </w:tcPr>
          <w:p w14:paraId="6405C7E0" w14:textId="77777777" w:rsidR="001A7CDB" w:rsidRDefault="001A7CDB"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4CD1C2BA" w14:textId="77777777" w:rsidR="001A7CDB" w:rsidRDefault="001A7CDB" w:rsidP="00342EC9">
            <w:pPr>
              <w:spacing w:before="60" w:after="60"/>
              <w:contextualSpacing/>
            </w:pPr>
            <w:r>
              <w:t>Notify POLR of SPID data</w:t>
            </w:r>
          </w:p>
        </w:tc>
        <w:tc>
          <w:tcPr>
            <w:tcW w:w="970" w:type="dxa"/>
            <w:tcBorders>
              <w:top w:val="single" w:sz="4" w:space="0" w:color="auto"/>
              <w:left w:val="nil"/>
              <w:bottom w:val="single" w:sz="4" w:space="0" w:color="auto"/>
              <w:right w:val="single" w:sz="4" w:space="0" w:color="auto"/>
            </w:tcBorders>
            <w:vAlign w:val="center"/>
          </w:tcPr>
          <w:p w14:paraId="2628380F" w14:textId="77777777" w:rsidR="001A7CDB" w:rsidRDefault="001A7CDB" w:rsidP="00342EC9">
            <w:pPr>
              <w:spacing w:before="60" w:after="60"/>
              <w:contextualSpacing/>
            </w:pPr>
            <w:r>
              <w:t>CMA</w:t>
            </w:r>
          </w:p>
        </w:tc>
        <w:tc>
          <w:tcPr>
            <w:tcW w:w="631" w:type="dxa"/>
            <w:tcBorders>
              <w:top w:val="single" w:sz="4" w:space="0" w:color="auto"/>
              <w:left w:val="nil"/>
              <w:bottom w:val="single" w:sz="4" w:space="0" w:color="auto"/>
              <w:right w:val="single" w:sz="4" w:space="0" w:color="auto"/>
            </w:tcBorders>
            <w:vAlign w:val="center"/>
          </w:tcPr>
          <w:p w14:paraId="6FFB4CCC" w14:textId="77777777" w:rsidR="001A7CDB" w:rsidRDefault="001A7CDB" w:rsidP="00342EC9">
            <w:pPr>
              <w:spacing w:before="60" w:after="60"/>
              <w:contextualSpacing/>
            </w:pPr>
            <w:r>
              <w:t>LP</w:t>
            </w:r>
          </w:p>
        </w:tc>
        <w:tc>
          <w:tcPr>
            <w:tcW w:w="1087" w:type="dxa"/>
            <w:tcBorders>
              <w:top w:val="single" w:sz="4" w:space="0" w:color="auto"/>
              <w:left w:val="nil"/>
              <w:bottom w:val="single" w:sz="4" w:space="0" w:color="auto"/>
              <w:right w:val="single" w:sz="4" w:space="0" w:color="auto"/>
            </w:tcBorders>
            <w:vAlign w:val="center"/>
          </w:tcPr>
          <w:p w14:paraId="16BE148A" w14:textId="77777777" w:rsidR="001A7CDB" w:rsidRDefault="001A7CDB"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1526B14D" w14:textId="77777777" w:rsidR="001A7CDB" w:rsidRDefault="001A7CDB" w:rsidP="00CC43C1">
            <w:pPr>
              <w:spacing w:before="60" w:after="60"/>
              <w:contextualSpacing/>
              <w:rPr>
                <w:sz w:val="18"/>
                <w:szCs w:val="18"/>
              </w:rPr>
            </w:pPr>
            <w:r>
              <w:rPr>
                <w:sz w:val="18"/>
                <w:szCs w:val="18"/>
              </w:rPr>
              <w:t xml:space="preserve">Any </w:t>
            </w:r>
            <w:r w:rsidR="00E25CEE">
              <w:rPr>
                <w:sz w:val="18"/>
                <w:szCs w:val="18"/>
              </w:rPr>
              <w:t>Meter Network</w:t>
            </w:r>
            <w:r>
              <w:rPr>
                <w:sz w:val="18"/>
                <w:szCs w:val="18"/>
              </w:rPr>
              <w:t xml:space="preserve"> arrangement will be notified.</w:t>
            </w:r>
          </w:p>
          <w:p w14:paraId="086C8F2C" w14:textId="77777777" w:rsidR="001A7CDB" w:rsidRDefault="001A7CDB" w:rsidP="00CC43C1">
            <w:pPr>
              <w:spacing w:before="60" w:after="60"/>
              <w:contextualSpacing/>
              <w:rPr>
                <w:sz w:val="18"/>
                <w:szCs w:val="18"/>
              </w:rPr>
            </w:pPr>
            <w:r>
              <w:rPr>
                <w:sz w:val="18"/>
                <w:szCs w:val="18"/>
              </w:rPr>
              <w:t xml:space="preserve">Any non-standard arrangements will also be notified </w:t>
            </w:r>
          </w:p>
          <w:p w14:paraId="47BD474D" w14:textId="77777777" w:rsidR="001A7CDB" w:rsidRDefault="001A7CDB" w:rsidP="00342EC9">
            <w:pPr>
              <w:spacing w:before="60" w:after="60"/>
              <w:contextualSpacing/>
            </w:pPr>
            <w:r>
              <w:rPr>
                <w:sz w:val="18"/>
                <w:szCs w:val="18"/>
              </w:rPr>
              <w:t>Any SPID Data for TE Services (See CSD0206) will also be notified</w:t>
            </w:r>
          </w:p>
        </w:tc>
        <w:tc>
          <w:tcPr>
            <w:tcW w:w="661" w:type="dxa"/>
            <w:tcBorders>
              <w:top w:val="single" w:sz="4" w:space="0" w:color="auto"/>
              <w:left w:val="nil"/>
              <w:bottom w:val="single" w:sz="4" w:space="0" w:color="auto"/>
              <w:right w:val="single" w:sz="4" w:space="0" w:color="auto"/>
            </w:tcBorders>
            <w:vAlign w:val="center"/>
          </w:tcPr>
          <w:p w14:paraId="43653747" w14:textId="77777777" w:rsidR="001A7CDB" w:rsidRDefault="001A7CDB"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1D06849F" w14:textId="77777777" w:rsidR="001A7CDB" w:rsidRDefault="001A7CDB"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1E1A9BD5" w14:textId="77777777" w:rsidR="001A7CDB" w:rsidRPr="009C3B39" w:rsidRDefault="001A7CDB" w:rsidP="00CC43C1">
            <w:pPr>
              <w:spacing w:before="60" w:after="60"/>
              <w:contextualSpacing/>
            </w:pPr>
            <w:r>
              <w:t>T019.0 T020.0</w:t>
            </w:r>
            <w:r w:rsidRPr="009C3B39">
              <w:t>T004.1</w:t>
            </w:r>
          </w:p>
          <w:p w14:paraId="7DD90C92" w14:textId="77777777" w:rsidR="001A7CDB" w:rsidRDefault="001A7CDB" w:rsidP="00CC43C1">
            <w:pPr>
              <w:spacing w:before="60" w:after="60"/>
              <w:contextualSpacing/>
              <w:rPr>
                <w:sz w:val="18"/>
                <w:szCs w:val="18"/>
              </w:rPr>
            </w:pPr>
            <w:r w:rsidDel="002B7098">
              <w:rPr>
                <w:sz w:val="18"/>
                <w:szCs w:val="18"/>
              </w:rPr>
              <w:t xml:space="preserve"> </w:t>
            </w:r>
            <w:r>
              <w:rPr>
                <w:sz w:val="18"/>
                <w:szCs w:val="18"/>
              </w:rPr>
              <w:t>(T0</w:t>
            </w:r>
            <w:r w:rsidR="009C3B39">
              <w:rPr>
                <w:sz w:val="18"/>
                <w:szCs w:val="18"/>
              </w:rPr>
              <w:t>36</w:t>
            </w:r>
            <w:r>
              <w:rPr>
                <w:sz w:val="18"/>
                <w:szCs w:val="18"/>
              </w:rPr>
              <w:t>.</w:t>
            </w:r>
            <w:r w:rsidR="009C3B39">
              <w:rPr>
                <w:sz w:val="18"/>
                <w:szCs w:val="18"/>
              </w:rPr>
              <w:t>1</w:t>
            </w:r>
            <w:r>
              <w:rPr>
                <w:sz w:val="18"/>
                <w:szCs w:val="18"/>
              </w:rPr>
              <w:t>)</w:t>
            </w:r>
          </w:p>
          <w:p w14:paraId="0AC44736" w14:textId="77777777" w:rsidR="001A7CDB" w:rsidRDefault="001A7CDB" w:rsidP="00CC43C1">
            <w:pPr>
              <w:spacing w:before="60" w:after="60"/>
              <w:contextualSpacing/>
              <w:rPr>
                <w:sz w:val="18"/>
                <w:szCs w:val="18"/>
              </w:rPr>
            </w:pPr>
            <w:r>
              <w:rPr>
                <w:sz w:val="18"/>
                <w:szCs w:val="18"/>
              </w:rPr>
              <w:t>(T029.0)</w:t>
            </w:r>
          </w:p>
          <w:p w14:paraId="26EC93FF" w14:textId="77777777" w:rsidR="001A7CDB" w:rsidRPr="002B7098" w:rsidRDefault="001A7CDB" w:rsidP="00CC43C1">
            <w:pPr>
              <w:spacing w:before="60" w:after="60"/>
              <w:contextualSpacing/>
              <w:rPr>
                <w:sz w:val="18"/>
                <w:szCs w:val="18"/>
              </w:rPr>
            </w:pPr>
            <w:r>
              <w:rPr>
                <w:sz w:val="18"/>
                <w:szCs w:val="18"/>
              </w:rPr>
              <w:t>(</w:t>
            </w:r>
            <w:r w:rsidRPr="002B7098">
              <w:rPr>
                <w:sz w:val="18"/>
                <w:szCs w:val="18"/>
              </w:rPr>
              <w:t>T021.1)</w:t>
            </w:r>
          </w:p>
          <w:p w14:paraId="5CF66C03" w14:textId="77777777" w:rsidR="001A7CDB" w:rsidRPr="00291797" w:rsidRDefault="001A7CDB" w:rsidP="00342EC9">
            <w:pPr>
              <w:spacing w:before="60" w:after="60"/>
              <w:contextualSpacing/>
              <w:rPr>
                <w:sz w:val="18"/>
                <w:szCs w:val="18"/>
              </w:rPr>
            </w:pPr>
            <w:r>
              <w:rPr>
                <w:sz w:val="18"/>
                <w:szCs w:val="18"/>
              </w:rPr>
              <w:t>(</w:t>
            </w:r>
            <w:r w:rsidRPr="002B7098">
              <w:rPr>
                <w:sz w:val="18"/>
                <w:szCs w:val="18"/>
              </w:rPr>
              <w:t>T023.1)</w:t>
            </w:r>
          </w:p>
        </w:tc>
      </w:tr>
      <w:tr w:rsidR="001A7CDB" w14:paraId="3FAAEFA4"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677E2464" w14:textId="77777777" w:rsidR="001A7CDB" w:rsidRDefault="00DE238A" w:rsidP="00DE238A">
            <w:pPr>
              <w:spacing w:before="60" w:after="60"/>
              <w:contextualSpacing/>
            </w:pPr>
            <w:r>
              <w:t>f</w:t>
            </w:r>
          </w:p>
        </w:tc>
        <w:tc>
          <w:tcPr>
            <w:tcW w:w="468" w:type="dxa"/>
            <w:tcBorders>
              <w:top w:val="single" w:sz="4" w:space="0" w:color="auto"/>
              <w:left w:val="nil"/>
              <w:bottom w:val="single" w:sz="4" w:space="0" w:color="auto"/>
              <w:right w:val="single" w:sz="4" w:space="0" w:color="auto"/>
            </w:tcBorders>
            <w:vAlign w:val="center"/>
          </w:tcPr>
          <w:p w14:paraId="6D46F1F5" w14:textId="77777777" w:rsidR="001A7CDB" w:rsidRDefault="001A7CDB"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55BD37D8" w14:textId="77777777" w:rsidR="001A7CDB" w:rsidRDefault="001A7CDB" w:rsidP="00474DAB">
            <w:pPr>
              <w:spacing w:before="60" w:after="60"/>
              <w:contextualSpacing/>
            </w:pPr>
            <w:r>
              <w:t xml:space="preserve">Notify POLR of Customer Name </w:t>
            </w:r>
            <w:r w:rsidR="00BF7C11">
              <w:t>and  Metered Building Water status</w:t>
            </w:r>
          </w:p>
        </w:tc>
        <w:tc>
          <w:tcPr>
            <w:tcW w:w="970" w:type="dxa"/>
            <w:tcBorders>
              <w:top w:val="single" w:sz="4" w:space="0" w:color="auto"/>
              <w:left w:val="nil"/>
              <w:bottom w:val="single" w:sz="4" w:space="0" w:color="auto"/>
              <w:right w:val="single" w:sz="4" w:space="0" w:color="auto"/>
            </w:tcBorders>
            <w:vAlign w:val="center"/>
          </w:tcPr>
          <w:p w14:paraId="57142C6A" w14:textId="77777777" w:rsidR="001A7CDB" w:rsidRDefault="001A7CDB" w:rsidP="00342EC9">
            <w:pPr>
              <w:spacing w:before="60" w:after="60"/>
              <w:contextualSpacing/>
            </w:pPr>
            <w:r>
              <w:t>CMA</w:t>
            </w:r>
          </w:p>
        </w:tc>
        <w:tc>
          <w:tcPr>
            <w:tcW w:w="631" w:type="dxa"/>
            <w:tcBorders>
              <w:top w:val="single" w:sz="4" w:space="0" w:color="auto"/>
              <w:left w:val="nil"/>
              <w:bottom w:val="single" w:sz="4" w:space="0" w:color="auto"/>
              <w:right w:val="single" w:sz="4" w:space="0" w:color="auto"/>
            </w:tcBorders>
            <w:vAlign w:val="center"/>
          </w:tcPr>
          <w:p w14:paraId="3BF8BB45" w14:textId="77777777" w:rsidR="001A7CDB" w:rsidRDefault="001A7CDB" w:rsidP="00342EC9">
            <w:pPr>
              <w:spacing w:before="60" w:after="60"/>
              <w:contextualSpacing/>
            </w:pPr>
            <w:r>
              <w:t>LP</w:t>
            </w:r>
          </w:p>
        </w:tc>
        <w:tc>
          <w:tcPr>
            <w:tcW w:w="1087" w:type="dxa"/>
            <w:tcBorders>
              <w:top w:val="single" w:sz="4" w:space="0" w:color="auto"/>
              <w:left w:val="nil"/>
              <w:bottom w:val="single" w:sz="4" w:space="0" w:color="auto"/>
              <w:right w:val="single" w:sz="4" w:space="0" w:color="auto"/>
            </w:tcBorders>
            <w:vAlign w:val="center"/>
          </w:tcPr>
          <w:p w14:paraId="50351AF6" w14:textId="77777777" w:rsidR="001A7CDB" w:rsidRDefault="001A7CDB"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2058217E" w14:textId="77777777" w:rsidR="001A7CDB" w:rsidRDefault="001A7CDB"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7009953E" w14:textId="77777777" w:rsidR="001A7CDB" w:rsidRDefault="001A7CDB"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3AAF6DC0" w14:textId="77777777" w:rsidR="001A7CDB" w:rsidRDefault="001A7CDB"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77122CE6" w14:textId="77777777" w:rsidR="001A7CDB" w:rsidRDefault="001A7CDB" w:rsidP="00342EC9">
            <w:pPr>
              <w:spacing w:before="60" w:after="60"/>
              <w:contextualSpacing/>
            </w:pPr>
            <w:r>
              <w:t>T032.1</w:t>
            </w:r>
          </w:p>
          <w:p w14:paraId="0F515EB5" w14:textId="77777777" w:rsidR="003E0E07" w:rsidRDefault="003E0E07" w:rsidP="00342EC9">
            <w:pPr>
              <w:spacing w:before="60" w:after="60"/>
              <w:contextualSpacing/>
            </w:pPr>
            <w:r>
              <w:t>(T033.1)</w:t>
            </w:r>
          </w:p>
        </w:tc>
      </w:tr>
    </w:tbl>
    <w:p w14:paraId="1BB82EA9" w14:textId="77777777" w:rsidR="00342EC9" w:rsidRDefault="00342EC9" w:rsidP="0067484B">
      <w:pPr>
        <w:ind w:firstLine="720"/>
        <w:rPr>
          <w:b/>
          <w:sz w:val="24"/>
        </w:rPr>
      </w:pPr>
    </w:p>
    <w:p w14:paraId="572756A8" w14:textId="3B3676CC" w:rsidR="004F4C4E" w:rsidRPr="007F3959" w:rsidRDefault="000F7C69" w:rsidP="007F3959">
      <w:pPr>
        <w:rPr>
          <w:b/>
          <w:sz w:val="24"/>
        </w:rPr>
      </w:pPr>
      <w:r>
        <w:rPr>
          <w:b/>
          <w:sz w:val="24"/>
        </w:rPr>
        <w:br w:type="page"/>
      </w:r>
    </w:p>
    <w:p w14:paraId="1DD7AFF8" w14:textId="436B29A4" w:rsidR="00A95FB4" w:rsidRPr="00A95FB4" w:rsidRDefault="00103DF6" w:rsidP="00B9630C">
      <w:pPr>
        <w:pStyle w:val="Heading1"/>
        <w:spacing w:line="360" w:lineRule="auto"/>
        <w:rPr>
          <w:b w:val="0"/>
          <w:color w:val="00436E"/>
        </w:rPr>
      </w:pPr>
      <w:bookmarkStart w:id="12" w:name="_Toc205456083"/>
      <w:r>
        <w:rPr>
          <w:b w:val="0"/>
          <w:color w:val="00436E"/>
        </w:rPr>
        <w:lastRenderedPageBreak/>
        <w:t>Customer Data Report</w:t>
      </w:r>
      <w:bookmarkEnd w:id="12"/>
    </w:p>
    <w:p w14:paraId="1D5FB6F2" w14:textId="77777777" w:rsidR="000D27FE" w:rsidRDefault="00A87162" w:rsidP="0034605E">
      <w:pPr>
        <w:pStyle w:val="Heading2"/>
        <w:spacing w:line="360" w:lineRule="auto"/>
        <w:rPr>
          <w:b w:val="0"/>
          <w:i w:val="0"/>
          <w:color w:val="00436E"/>
        </w:rPr>
      </w:pPr>
      <w:bookmarkStart w:id="13" w:name="_Toc205456084"/>
      <w:r>
        <w:rPr>
          <w:b w:val="0"/>
          <w:i w:val="0"/>
          <w:color w:val="00436E"/>
        </w:rPr>
        <w:t>Licensed Providers’ Customer Data Report</w:t>
      </w:r>
      <w:bookmarkEnd w:id="13"/>
    </w:p>
    <w:p w14:paraId="57AEC3F2" w14:textId="77777777" w:rsidR="00FF47E2" w:rsidRPr="00FF47E2" w:rsidRDefault="00FF47E2" w:rsidP="007F3959">
      <w:pPr>
        <w:pStyle w:val="Heading2"/>
        <w:numPr>
          <w:ilvl w:val="0"/>
          <w:numId w:val="0"/>
        </w:numPr>
        <w:spacing w:line="360" w:lineRule="auto"/>
        <w:jc w:val="both"/>
        <w:rPr>
          <w:b w:val="0"/>
          <w:bCs w:val="0"/>
          <w:i w:val="0"/>
          <w:iCs w:val="0"/>
          <w:sz w:val="20"/>
          <w:szCs w:val="20"/>
        </w:rPr>
      </w:pPr>
      <w:bookmarkStart w:id="14" w:name="_Toc205456085"/>
      <w:r w:rsidRPr="00FF47E2">
        <w:rPr>
          <w:b w:val="0"/>
          <w:bCs w:val="0"/>
          <w:i w:val="0"/>
          <w:iCs w:val="0"/>
          <w:sz w:val="20"/>
          <w:szCs w:val="20"/>
        </w:rPr>
        <w:t>Following the last Business Day of each month Licensed Providers shall extract data from their billing systems and submit this Customer Data Report to the CMA by the tenth Business Day of the following month.</w:t>
      </w:r>
      <w:bookmarkEnd w:id="14"/>
    </w:p>
    <w:p w14:paraId="1E7FA6DE" w14:textId="77777777" w:rsidR="00C74784" w:rsidRDefault="00FF47E2" w:rsidP="00DC5F9F">
      <w:pPr>
        <w:pStyle w:val="Heading2"/>
        <w:numPr>
          <w:ilvl w:val="0"/>
          <w:numId w:val="0"/>
        </w:numPr>
        <w:spacing w:line="360" w:lineRule="auto"/>
        <w:jc w:val="both"/>
        <w:rPr>
          <w:b w:val="0"/>
          <w:bCs w:val="0"/>
          <w:i w:val="0"/>
          <w:iCs w:val="0"/>
          <w:sz w:val="20"/>
          <w:szCs w:val="20"/>
        </w:rPr>
      </w:pPr>
      <w:bookmarkStart w:id="15" w:name="_Toc205456086"/>
      <w:r w:rsidRPr="00FF47E2">
        <w:rPr>
          <w:b w:val="0"/>
          <w:bCs w:val="0"/>
          <w:i w:val="0"/>
          <w:iCs w:val="0"/>
          <w:sz w:val="20"/>
          <w:szCs w:val="20"/>
        </w:rPr>
        <w:t>Licensed Providers shall use reasonable endeavours to ensure that the information provided is accurate, up to date and complete</w:t>
      </w:r>
      <w:r w:rsidR="00C74784">
        <w:rPr>
          <w:b w:val="0"/>
          <w:bCs w:val="0"/>
          <w:i w:val="0"/>
          <w:iCs w:val="0"/>
          <w:sz w:val="20"/>
          <w:szCs w:val="20"/>
        </w:rPr>
        <w:t>.</w:t>
      </w:r>
      <w:bookmarkEnd w:id="15"/>
    </w:p>
    <w:p w14:paraId="5160A808" w14:textId="74388062" w:rsidR="00B9630C" w:rsidRPr="006A2853" w:rsidRDefault="00FF47E2" w:rsidP="006A2853">
      <w:pPr>
        <w:pStyle w:val="Heading2"/>
        <w:spacing w:line="360" w:lineRule="auto"/>
        <w:rPr>
          <w:b w:val="0"/>
          <w:i w:val="0"/>
          <w:color w:val="00436E"/>
        </w:rPr>
      </w:pPr>
      <w:bookmarkStart w:id="16" w:name="_Toc205456087"/>
      <w:r>
        <w:rPr>
          <w:b w:val="0"/>
          <w:i w:val="0"/>
          <w:color w:val="00436E"/>
        </w:rPr>
        <w:t>Customer Data Report</w:t>
      </w:r>
      <w:r>
        <w:rPr>
          <w:b w:val="0"/>
          <w:i w:val="0"/>
          <w:color w:val="00436E"/>
        </w:rPr>
        <w:t xml:space="preserve"> Format</w:t>
      </w:r>
      <w:bookmarkEnd w:id="16"/>
    </w:p>
    <w:p w14:paraId="3E7265AF" w14:textId="77777777" w:rsidR="00B9630C" w:rsidRPr="00B9630C" w:rsidRDefault="00B9630C" w:rsidP="007F3959">
      <w:pPr>
        <w:pStyle w:val="Heading2"/>
        <w:numPr>
          <w:ilvl w:val="0"/>
          <w:numId w:val="0"/>
        </w:numPr>
        <w:spacing w:line="360" w:lineRule="auto"/>
        <w:jc w:val="both"/>
        <w:rPr>
          <w:b w:val="0"/>
          <w:bCs w:val="0"/>
          <w:i w:val="0"/>
          <w:iCs w:val="0"/>
          <w:sz w:val="20"/>
          <w:szCs w:val="20"/>
        </w:rPr>
      </w:pPr>
      <w:bookmarkStart w:id="17" w:name="_Toc205456088"/>
      <w:r w:rsidRPr="00B9630C">
        <w:rPr>
          <w:b w:val="0"/>
          <w:bCs w:val="0"/>
          <w:i w:val="0"/>
          <w:iCs w:val="0"/>
          <w:sz w:val="20"/>
          <w:szCs w:val="20"/>
        </w:rPr>
        <w:t>The Customer Data Report shall be a CSV file containing the following data items. Where data items are not held by the Licensed Provider then those fields shall be populated with “NULL”</w:t>
      </w:r>
      <w:bookmarkEnd w:id="17"/>
    </w:p>
    <w:tbl>
      <w:tblPr>
        <w:tblStyle w:val="TableGrid"/>
        <w:tblW w:w="0" w:type="auto"/>
        <w:tblInd w:w="720" w:type="dxa"/>
        <w:tblLook w:val="04A0" w:firstRow="1" w:lastRow="0" w:firstColumn="1" w:lastColumn="0" w:noHBand="0" w:noVBand="1"/>
      </w:tblPr>
      <w:tblGrid>
        <w:gridCol w:w="2770"/>
        <w:gridCol w:w="4812"/>
      </w:tblGrid>
      <w:tr w:rsidR="006D1CBA" w:rsidRPr="00D11775" w14:paraId="55A39B8A" w14:textId="77777777" w:rsidTr="00EC515C">
        <w:tc>
          <w:tcPr>
            <w:tcW w:w="2841" w:type="dxa"/>
          </w:tcPr>
          <w:p w14:paraId="068A03EA" w14:textId="77777777" w:rsidR="006D1CBA" w:rsidRPr="00D11775" w:rsidRDefault="006D1CBA" w:rsidP="00EC515C">
            <w:pPr>
              <w:rPr>
                <w:b/>
                <w:bCs/>
                <w:color w:val="auto"/>
                <w:sz w:val="20"/>
                <w:szCs w:val="18"/>
              </w:rPr>
            </w:pPr>
            <w:r w:rsidRPr="00D11775">
              <w:rPr>
                <w:b/>
                <w:bCs/>
                <w:color w:val="auto"/>
                <w:sz w:val="20"/>
                <w:szCs w:val="18"/>
              </w:rPr>
              <w:t>Data Item</w:t>
            </w:r>
          </w:p>
        </w:tc>
        <w:tc>
          <w:tcPr>
            <w:tcW w:w="4961" w:type="dxa"/>
          </w:tcPr>
          <w:p w14:paraId="77C4D81C" w14:textId="77777777" w:rsidR="006D1CBA" w:rsidRPr="00D11775" w:rsidRDefault="006D1CBA" w:rsidP="00EC515C">
            <w:pPr>
              <w:rPr>
                <w:b/>
                <w:bCs/>
                <w:color w:val="auto"/>
                <w:sz w:val="20"/>
                <w:szCs w:val="18"/>
              </w:rPr>
            </w:pPr>
            <w:r w:rsidRPr="00D11775">
              <w:rPr>
                <w:b/>
                <w:bCs/>
                <w:color w:val="auto"/>
                <w:sz w:val="20"/>
                <w:szCs w:val="18"/>
              </w:rPr>
              <w:t>Notes</w:t>
            </w:r>
          </w:p>
        </w:tc>
      </w:tr>
      <w:tr w:rsidR="006D1CBA" w:rsidRPr="00D11775" w14:paraId="2DDAF138" w14:textId="77777777" w:rsidTr="00EC515C">
        <w:tc>
          <w:tcPr>
            <w:tcW w:w="2841" w:type="dxa"/>
          </w:tcPr>
          <w:p w14:paraId="0092D03C" w14:textId="77777777" w:rsidR="006D1CBA" w:rsidRPr="00D11775" w:rsidRDefault="006D1CBA" w:rsidP="00EC515C">
            <w:pPr>
              <w:rPr>
                <w:color w:val="auto"/>
                <w:sz w:val="20"/>
                <w:szCs w:val="18"/>
              </w:rPr>
            </w:pPr>
            <w:r w:rsidRPr="00D11775">
              <w:rPr>
                <w:color w:val="auto"/>
                <w:sz w:val="20"/>
                <w:szCs w:val="18"/>
              </w:rPr>
              <w:t>SPID</w:t>
            </w:r>
          </w:p>
        </w:tc>
        <w:tc>
          <w:tcPr>
            <w:tcW w:w="4961" w:type="dxa"/>
          </w:tcPr>
          <w:p w14:paraId="1B4B2BC5" w14:textId="77777777" w:rsidR="006D1CBA" w:rsidRPr="00D11775" w:rsidRDefault="006D1CBA" w:rsidP="00EC515C">
            <w:pPr>
              <w:rPr>
                <w:color w:val="auto"/>
                <w:sz w:val="20"/>
                <w:szCs w:val="18"/>
              </w:rPr>
            </w:pPr>
          </w:p>
        </w:tc>
      </w:tr>
      <w:tr w:rsidR="006D1CBA" w:rsidRPr="00D11775" w14:paraId="3CAECE33" w14:textId="77777777" w:rsidTr="00EC515C">
        <w:tc>
          <w:tcPr>
            <w:tcW w:w="2841" w:type="dxa"/>
          </w:tcPr>
          <w:p w14:paraId="4364CFB7" w14:textId="77777777" w:rsidR="006D1CBA" w:rsidRPr="00D11775" w:rsidRDefault="006D1CBA" w:rsidP="00EC515C">
            <w:pPr>
              <w:rPr>
                <w:color w:val="auto"/>
                <w:sz w:val="20"/>
                <w:szCs w:val="18"/>
              </w:rPr>
            </w:pPr>
            <w:r w:rsidRPr="00D11775">
              <w:rPr>
                <w:color w:val="auto"/>
                <w:sz w:val="20"/>
                <w:szCs w:val="18"/>
              </w:rPr>
              <w:t>Customer Name</w:t>
            </w:r>
          </w:p>
        </w:tc>
        <w:tc>
          <w:tcPr>
            <w:tcW w:w="4961" w:type="dxa"/>
          </w:tcPr>
          <w:p w14:paraId="0D8183ED" w14:textId="77777777" w:rsidR="006D1CBA" w:rsidRPr="00D11775" w:rsidRDefault="006D1CBA" w:rsidP="00EC515C">
            <w:pPr>
              <w:rPr>
                <w:color w:val="auto"/>
                <w:sz w:val="20"/>
                <w:szCs w:val="18"/>
              </w:rPr>
            </w:pPr>
            <w:r w:rsidRPr="00D11775">
              <w:rPr>
                <w:color w:val="auto"/>
                <w:sz w:val="20"/>
                <w:szCs w:val="18"/>
              </w:rPr>
              <w:t>Name of the company or person legally responsible for paying for water and sewerage services</w:t>
            </w:r>
          </w:p>
        </w:tc>
      </w:tr>
      <w:tr w:rsidR="006D1CBA" w:rsidRPr="00D11775" w14:paraId="2DA58B75" w14:textId="77777777" w:rsidTr="00EC515C">
        <w:tc>
          <w:tcPr>
            <w:tcW w:w="2841" w:type="dxa"/>
          </w:tcPr>
          <w:p w14:paraId="19294FB9" w14:textId="77777777" w:rsidR="006D1CBA" w:rsidRPr="00D11775" w:rsidRDefault="006D1CBA" w:rsidP="00EC515C">
            <w:pPr>
              <w:rPr>
                <w:color w:val="auto"/>
                <w:sz w:val="20"/>
                <w:szCs w:val="18"/>
              </w:rPr>
            </w:pPr>
            <w:r w:rsidRPr="00D11775">
              <w:rPr>
                <w:color w:val="auto"/>
                <w:sz w:val="20"/>
                <w:szCs w:val="18"/>
              </w:rPr>
              <w:t>Billing Address Building Name</w:t>
            </w:r>
          </w:p>
        </w:tc>
        <w:tc>
          <w:tcPr>
            <w:tcW w:w="4961" w:type="dxa"/>
          </w:tcPr>
          <w:p w14:paraId="60E433D6" w14:textId="77777777" w:rsidR="006D1CBA" w:rsidRPr="00D11775" w:rsidRDefault="006D1CBA" w:rsidP="00EC515C">
            <w:pPr>
              <w:rPr>
                <w:color w:val="auto"/>
                <w:sz w:val="20"/>
                <w:szCs w:val="18"/>
              </w:rPr>
            </w:pPr>
            <w:r w:rsidRPr="00D11775">
              <w:rPr>
                <w:color w:val="auto"/>
                <w:sz w:val="20"/>
                <w:szCs w:val="18"/>
              </w:rPr>
              <w:t>To be completed where the building has a name, not just a number</w:t>
            </w:r>
          </w:p>
        </w:tc>
      </w:tr>
      <w:tr w:rsidR="006D1CBA" w:rsidRPr="00D11775" w14:paraId="2FB3E3D4" w14:textId="77777777" w:rsidTr="00EC515C">
        <w:tc>
          <w:tcPr>
            <w:tcW w:w="2841" w:type="dxa"/>
          </w:tcPr>
          <w:p w14:paraId="42E3E4DD" w14:textId="77777777" w:rsidR="006D1CBA" w:rsidRPr="00D11775" w:rsidRDefault="006D1CBA" w:rsidP="00EC515C">
            <w:pPr>
              <w:rPr>
                <w:color w:val="auto"/>
                <w:sz w:val="20"/>
                <w:szCs w:val="18"/>
              </w:rPr>
            </w:pPr>
            <w:r w:rsidRPr="00D11775">
              <w:rPr>
                <w:color w:val="auto"/>
                <w:sz w:val="20"/>
                <w:szCs w:val="18"/>
              </w:rPr>
              <w:t>Billing Address Line 1</w:t>
            </w:r>
          </w:p>
        </w:tc>
        <w:tc>
          <w:tcPr>
            <w:tcW w:w="4961" w:type="dxa"/>
          </w:tcPr>
          <w:p w14:paraId="3BCFD890" w14:textId="77777777" w:rsidR="006D1CBA" w:rsidRPr="00D11775" w:rsidRDefault="006D1CBA" w:rsidP="00EC515C">
            <w:pPr>
              <w:rPr>
                <w:color w:val="auto"/>
                <w:sz w:val="20"/>
                <w:szCs w:val="18"/>
              </w:rPr>
            </w:pPr>
            <w:r w:rsidRPr="00D11775">
              <w:rPr>
                <w:color w:val="auto"/>
                <w:sz w:val="20"/>
                <w:szCs w:val="18"/>
              </w:rPr>
              <w:t>Includes building number</w:t>
            </w:r>
          </w:p>
        </w:tc>
      </w:tr>
      <w:tr w:rsidR="006D1CBA" w:rsidRPr="00D11775" w14:paraId="70667C13" w14:textId="77777777" w:rsidTr="00EC515C">
        <w:tc>
          <w:tcPr>
            <w:tcW w:w="2841" w:type="dxa"/>
          </w:tcPr>
          <w:p w14:paraId="23381BDA" w14:textId="77777777" w:rsidR="006D1CBA" w:rsidRPr="00D11775" w:rsidRDefault="006D1CBA" w:rsidP="00EC515C">
            <w:pPr>
              <w:rPr>
                <w:color w:val="auto"/>
                <w:sz w:val="20"/>
                <w:szCs w:val="18"/>
              </w:rPr>
            </w:pPr>
            <w:r w:rsidRPr="00D11775">
              <w:rPr>
                <w:color w:val="auto"/>
                <w:sz w:val="20"/>
                <w:szCs w:val="18"/>
              </w:rPr>
              <w:t>Billing Address Line 2</w:t>
            </w:r>
          </w:p>
        </w:tc>
        <w:tc>
          <w:tcPr>
            <w:tcW w:w="4961" w:type="dxa"/>
          </w:tcPr>
          <w:p w14:paraId="3A9139E3" w14:textId="77777777" w:rsidR="006D1CBA" w:rsidRPr="00D11775" w:rsidRDefault="006D1CBA" w:rsidP="00EC515C">
            <w:pPr>
              <w:rPr>
                <w:color w:val="auto"/>
                <w:sz w:val="20"/>
                <w:szCs w:val="18"/>
              </w:rPr>
            </w:pPr>
          </w:p>
        </w:tc>
      </w:tr>
      <w:tr w:rsidR="006D1CBA" w:rsidRPr="00D11775" w14:paraId="3E23ED44" w14:textId="77777777" w:rsidTr="00EC515C">
        <w:tc>
          <w:tcPr>
            <w:tcW w:w="2841" w:type="dxa"/>
          </w:tcPr>
          <w:p w14:paraId="26B2D11A" w14:textId="77777777" w:rsidR="006D1CBA" w:rsidRPr="00D11775" w:rsidRDefault="006D1CBA" w:rsidP="00EC515C">
            <w:pPr>
              <w:rPr>
                <w:color w:val="auto"/>
                <w:sz w:val="20"/>
                <w:szCs w:val="18"/>
              </w:rPr>
            </w:pPr>
            <w:r w:rsidRPr="00D11775">
              <w:rPr>
                <w:color w:val="auto"/>
                <w:sz w:val="20"/>
                <w:szCs w:val="18"/>
              </w:rPr>
              <w:t>Billing Address Post Town</w:t>
            </w:r>
          </w:p>
        </w:tc>
        <w:tc>
          <w:tcPr>
            <w:tcW w:w="4961" w:type="dxa"/>
          </w:tcPr>
          <w:p w14:paraId="350C9103" w14:textId="77777777" w:rsidR="006D1CBA" w:rsidRPr="00D11775" w:rsidRDefault="006D1CBA" w:rsidP="00EC515C">
            <w:pPr>
              <w:rPr>
                <w:color w:val="auto"/>
                <w:sz w:val="20"/>
                <w:szCs w:val="18"/>
              </w:rPr>
            </w:pPr>
            <w:r w:rsidRPr="00D11775">
              <w:rPr>
                <w:color w:val="auto"/>
                <w:sz w:val="20"/>
                <w:szCs w:val="18"/>
              </w:rPr>
              <w:t>Postal town as recorded by the Royal Mail</w:t>
            </w:r>
          </w:p>
        </w:tc>
      </w:tr>
      <w:tr w:rsidR="006D1CBA" w:rsidRPr="00D11775" w14:paraId="21EC1AFC" w14:textId="77777777" w:rsidTr="00EC515C">
        <w:tc>
          <w:tcPr>
            <w:tcW w:w="2841" w:type="dxa"/>
          </w:tcPr>
          <w:p w14:paraId="035226FE" w14:textId="77777777" w:rsidR="006D1CBA" w:rsidRPr="00D11775" w:rsidRDefault="006D1CBA" w:rsidP="00EC515C">
            <w:pPr>
              <w:rPr>
                <w:color w:val="auto"/>
                <w:sz w:val="20"/>
                <w:szCs w:val="18"/>
              </w:rPr>
            </w:pPr>
            <w:r w:rsidRPr="00D11775">
              <w:rPr>
                <w:color w:val="auto"/>
                <w:sz w:val="20"/>
                <w:szCs w:val="18"/>
              </w:rPr>
              <w:t>Billing Address County</w:t>
            </w:r>
          </w:p>
        </w:tc>
        <w:tc>
          <w:tcPr>
            <w:tcW w:w="4961" w:type="dxa"/>
          </w:tcPr>
          <w:p w14:paraId="01AE9739" w14:textId="77777777" w:rsidR="006D1CBA" w:rsidRPr="00D11775" w:rsidRDefault="006D1CBA" w:rsidP="00EC515C">
            <w:pPr>
              <w:rPr>
                <w:color w:val="auto"/>
                <w:sz w:val="20"/>
                <w:szCs w:val="18"/>
              </w:rPr>
            </w:pPr>
          </w:p>
        </w:tc>
      </w:tr>
      <w:tr w:rsidR="006D1CBA" w:rsidRPr="00D11775" w14:paraId="6FE7025F" w14:textId="77777777" w:rsidTr="00EC515C">
        <w:tc>
          <w:tcPr>
            <w:tcW w:w="2841" w:type="dxa"/>
          </w:tcPr>
          <w:p w14:paraId="79D405A3" w14:textId="77777777" w:rsidR="006D1CBA" w:rsidRPr="00D11775" w:rsidRDefault="006D1CBA" w:rsidP="00EC515C">
            <w:pPr>
              <w:rPr>
                <w:color w:val="auto"/>
                <w:sz w:val="20"/>
                <w:szCs w:val="18"/>
              </w:rPr>
            </w:pPr>
            <w:r w:rsidRPr="00D11775">
              <w:rPr>
                <w:color w:val="auto"/>
                <w:sz w:val="20"/>
                <w:szCs w:val="18"/>
              </w:rPr>
              <w:t>Billing Address Post Code</w:t>
            </w:r>
          </w:p>
        </w:tc>
        <w:tc>
          <w:tcPr>
            <w:tcW w:w="4961" w:type="dxa"/>
          </w:tcPr>
          <w:p w14:paraId="55E93D71" w14:textId="77777777" w:rsidR="006D1CBA" w:rsidRPr="00D11775" w:rsidRDefault="006D1CBA" w:rsidP="00EC515C">
            <w:pPr>
              <w:rPr>
                <w:color w:val="auto"/>
                <w:sz w:val="20"/>
                <w:szCs w:val="18"/>
              </w:rPr>
            </w:pPr>
          </w:p>
        </w:tc>
      </w:tr>
      <w:tr w:rsidR="006D1CBA" w:rsidRPr="00D11775" w14:paraId="5730C167" w14:textId="77777777" w:rsidTr="00EC515C">
        <w:tc>
          <w:tcPr>
            <w:tcW w:w="2841" w:type="dxa"/>
          </w:tcPr>
          <w:p w14:paraId="0C52ED0D" w14:textId="77777777" w:rsidR="006D1CBA" w:rsidRPr="00D11775" w:rsidRDefault="006D1CBA" w:rsidP="00EC515C">
            <w:pPr>
              <w:rPr>
                <w:color w:val="auto"/>
                <w:sz w:val="20"/>
                <w:szCs w:val="18"/>
              </w:rPr>
            </w:pPr>
            <w:r w:rsidRPr="00D11775">
              <w:rPr>
                <w:color w:val="auto"/>
                <w:sz w:val="20"/>
                <w:szCs w:val="18"/>
              </w:rPr>
              <w:t>Billing Contact</w:t>
            </w:r>
          </w:p>
        </w:tc>
        <w:tc>
          <w:tcPr>
            <w:tcW w:w="4961" w:type="dxa"/>
          </w:tcPr>
          <w:p w14:paraId="645CCCFC" w14:textId="77777777" w:rsidR="006D1CBA" w:rsidRPr="00D11775" w:rsidRDefault="006D1CBA" w:rsidP="00EC515C">
            <w:pPr>
              <w:rPr>
                <w:color w:val="auto"/>
                <w:sz w:val="20"/>
                <w:szCs w:val="18"/>
              </w:rPr>
            </w:pPr>
            <w:r w:rsidRPr="00D11775">
              <w:rPr>
                <w:color w:val="auto"/>
                <w:sz w:val="20"/>
                <w:szCs w:val="18"/>
              </w:rPr>
              <w:t>Primary person or role responsible for responding to billing enquiries</w:t>
            </w:r>
          </w:p>
        </w:tc>
      </w:tr>
      <w:tr w:rsidR="006D1CBA" w:rsidRPr="00D11775" w14:paraId="6C74B83A" w14:textId="77777777" w:rsidTr="00EC515C">
        <w:tc>
          <w:tcPr>
            <w:tcW w:w="2841" w:type="dxa"/>
          </w:tcPr>
          <w:p w14:paraId="04786ECE" w14:textId="77777777" w:rsidR="006D1CBA" w:rsidRPr="00D11775" w:rsidRDefault="006D1CBA" w:rsidP="00EC515C">
            <w:pPr>
              <w:rPr>
                <w:color w:val="auto"/>
                <w:sz w:val="20"/>
                <w:szCs w:val="18"/>
              </w:rPr>
            </w:pPr>
            <w:r w:rsidRPr="00D11775">
              <w:rPr>
                <w:color w:val="auto"/>
                <w:sz w:val="20"/>
                <w:szCs w:val="18"/>
              </w:rPr>
              <w:t>Billing Contact email address</w:t>
            </w:r>
          </w:p>
        </w:tc>
        <w:tc>
          <w:tcPr>
            <w:tcW w:w="4961" w:type="dxa"/>
          </w:tcPr>
          <w:p w14:paraId="1B3F74E8" w14:textId="77777777" w:rsidR="006D1CBA" w:rsidRPr="00D11775" w:rsidRDefault="006D1CBA" w:rsidP="00EC515C">
            <w:pPr>
              <w:rPr>
                <w:color w:val="auto"/>
                <w:sz w:val="20"/>
                <w:szCs w:val="18"/>
              </w:rPr>
            </w:pPr>
            <w:r w:rsidRPr="00D11775">
              <w:rPr>
                <w:color w:val="auto"/>
                <w:sz w:val="20"/>
                <w:szCs w:val="18"/>
              </w:rPr>
              <w:t>Must be provided where held by the LP</w:t>
            </w:r>
          </w:p>
        </w:tc>
      </w:tr>
      <w:tr w:rsidR="006D1CBA" w:rsidRPr="00D11775" w14:paraId="6C56A32E" w14:textId="77777777" w:rsidTr="00EC515C">
        <w:tc>
          <w:tcPr>
            <w:tcW w:w="2841" w:type="dxa"/>
          </w:tcPr>
          <w:p w14:paraId="54CC8201" w14:textId="77777777" w:rsidR="006D1CBA" w:rsidRPr="00D11775" w:rsidRDefault="006D1CBA" w:rsidP="00EC515C">
            <w:pPr>
              <w:rPr>
                <w:color w:val="auto"/>
                <w:sz w:val="20"/>
                <w:szCs w:val="18"/>
              </w:rPr>
            </w:pPr>
            <w:r w:rsidRPr="00D11775">
              <w:rPr>
                <w:color w:val="auto"/>
                <w:sz w:val="20"/>
                <w:szCs w:val="18"/>
              </w:rPr>
              <w:t>Customer Contact</w:t>
            </w:r>
          </w:p>
        </w:tc>
        <w:tc>
          <w:tcPr>
            <w:tcW w:w="4961" w:type="dxa"/>
          </w:tcPr>
          <w:p w14:paraId="44A440CC" w14:textId="77777777" w:rsidR="006D1CBA" w:rsidRPr="00D11775" w:rsidRDefault="006D1CBA" w:rsidP="00EC515C">
            <w:pPr>
              <w:rPr>
                <w:color w:val="auto"/>
                <w:sz w:val="20"/>
                <w:szCs w:val="18"/>
              </w:rPr>
            </w:pPr>
            <w:r w:rsidRPr="00D11775">
              <w:rPr>
                <w:color w:val="auto"/>
                <w:sz w:val="20"/>
                <w:szCs w:val="18"/>
              </w:rPr>
              <w:t>Primary person or role responsible for any queries in relation to customer service. May be the same person as the Billing Contact.</w:t>
            </w:r>
          </w:p>
        </w:tc>
      </w:tr>
      <w:tr w:rsidR="006D1CBA" w:rsidRPr="00D11775" w14:paraId="459FA77E" w14:textId="77777777" w:rsidTr="00EC515C">
        <w:tc>
          <w:tcPr>
            <w:tcW w:w="2841" w:type="dxa"/>
          </w:tcPr>
          <w:p w14:paraId="52BF0A14" w14:textId="77777777" w:rsidR="006D1CBA" w:rsidRPr="00D11775" w:rsidRDefault="006D1CBA" w:rsidP="00EC515C">
            <w:pPr>
              <w:rPr>
                <w:color w:val="auto"/>
                <w:sz w:val="20"/>
                <w:szCs w:val="18"/>
              </w:rPr>
            </w:pPr>
            <w:r w:rsidRPr="00D11775">
              <w:rPr>
                <w:color w:val="auto"/>
                <w:sz w:val="20"/>
                <w:szCs w:val="18"/>
              </w:rPr>
              <w:t>Customer Contact email address</w:t>
            </w:r>
          </w:p>
        </w:tc>
        <w:tc>
          <w:tcPr>
            <w:tcW w:w="4961" w:type="dxa"/>
          </w:tcPr>
          <w:p w14:paraId="05F2908A" w14:textId="77777777" w:rsidR="006D1CBA" w:rsidRPr="00D11775" w:rsidRDefault="006D1CBA" w:rsidP="00EC515C">
            <w:pPr>
              <w:rPr>
                <w:color w:val="auto"/>
                <w:sz w:val="20"/>
                <w:szCs w:val="18"/>
              </w:rPr>
            </w:pPr>
            <w:r w:rsidRPr="00D11775">
              <w:rPr>
                <w:color w:val="auto"/>
                <w:sz w:val="20"/>
                <w:szCs w:val="18"/>
              </w:rPr>
              <w:t>Must be provided where held by the LP</w:t>
            </w:r>
          </w:p>
        </w:tc>
      </w:tr>
      <w:tr w:rsidR="006D1CBA" w:rsidRPr="00D11775" w14:paraId="6B634845" w14:textId="77777777" w:rsidTr="00EC515C">
        <w:tc>
          <w:tcPr>
            <w:tcW w:w="2841" w:type="dxa"/>
          </w:tcPr>
          <w:p w14:paraId="18E970CE" w14:textId="77777777" w:rsidR="006D1CBA" w:rsidRPr="00D11775" w:rsidRDefault="006D1CBA" w:rsidP="00EC515C">
            <w:pPr>
              <w:rPr>
                <w:color w:val="auto"/>
                <w:sz w:val="20"/>
                <w:szCs w:val="18"/>
              </w:rPr>
            </w:pPr>
            <w:r w:rsidRPr="00D11775">
              <w:rPr>
                <w:color w:val="auto"/>
                <w:sz w:val="20"/>
                <w:szCs w:val="18"/>
              </w:rPr>
              <w:t>Customer Contact telephone number</w:t>
            </w:r>
          </w:p>
        </w:tc>
        <w:tc>
          <w:tcPr>
            <w:tcW w:w="4961" w:type="dxa"/>
          </w:tcPr>
          <w:p w14:paraId="4E99551E" w14:textId="77777777" w:rsidR="006D1CBA" w:rsidRPr="00D11775" w:rsidRDefault="006D1CBA" w:rsidP="00EC515C">
            <w:pPr>
              <w:rPr>
                <w:color w:val="auto"/>
                <w:sz w:val="20"/>
                <w:szCs w:val="18"/>
              </w:rPr>
            </w:pPr>
            <w:r w:rsidRPr="00D11775">
              <w:rPr>
                <w:color w:val="auto"/>
                <w:sz w:val="20"/>
                <w:szCs w:val="18"/>
              </w:rPr>
              <w:t>Must be provided where held by the LP</w:t>
            </w:r>
          </w:p>
        </w:tc>
      </w:tr>
      <w:tr w:rsidR="006D1CBA" w:rsidRPr="00D11775" w14:paraId="66D4CBA0" w14:textId="77777777" w:rsidTr="00EC515C">
        <w:tc>
          <w:tcPr>
            <w:tcW w:w="2841" w:type="dxa"/>
          </w:tcPr>
          <w:p w14:paraId="5AD8803E" w14:textId="77777777" w:rsidR="006D1CBA" w:rsidRPr="00D11775" w:rsidRDefault="006D1CBA" w:rsidP="00EC515C">
            <w:pPr>
              <w:rPr>
                <w:color w:val="auto"/>
                <w:sz w:val="20"/>
                <w:szCs w:val="18"/>
              </w:rPr>
            </w:pPr>
            <w:r w:rsidRPr="00D11775">
              <w:rPr>
                <w:color w:val="auto"/>
                <w:sz w:val="20"/>
                <w:szCs w:val="18"/>
              </w:rPr>
              <w:t>Vacancy Status</w:t>
            </w:r>
          </w:p>
        </w:tc>
        <w:tc>
          <w:tcPr>
            <w:tcW w:w="4961" w:type="dxa"/>
          </w:tcPr>
          <w:p w14:paraId="3EBCAA0F" w14:textId="2FDD8B85" w:rsidR="006D1CBA" w:rsidRPr="00D11775" w:rsidRDefault="006D1CBA" w:rsidP="00EC515C">
            <w:pPr>
              <w:rPr>
                <w:color w:val="auto"/>
                <w:sz w:val="20"/>
                <w:szCs w:val="18"/>
              </w:rPr>
            </w:pPr>
            <w:r w:rsidRPr="00D11775">
              <w:rPr>
                <w:color w:val="auto"/>
                <w:sz w:val="20"/>
                <w:szCs w:val="18"/>
              </w:rPr>
              <w:t>Mu</w:t>
            </w:r>
            <w:r w:rsidR="006A2853" w:rsidRPr="00D11775">
              <w:rPr>
                <w:color w:val="auto"/>
                <w:sz w:val="20"/>
                <w:szCs w:val="18"/>
              </w:rPr>
              <w:t>st</w:t>
            </w:r>
            <w:r w:rsidRPr="00D11775">
              <w:rPr>
                <w:color w:val="auto"/>
                <w:sz w:val="20"/>
                <w:szCs w:val="18"/>
              </w:rPr>
              <w:t xml:space="preserve"> be OCCUPIED or VACANT</w:t>
            </w:r>
          </w:p>
        </w:tc>
      </w:tr>
    </w:tbl>
    <w:p w14:paraId="40E191BB" w14:textId="77777777" w:rsidR="00731B1A" w:rsidRDefault="00731B1A">
      <w:pPr>
        <w:rPr>
          <w:bCs/>
          <w:iCs/>
          <w:color w:val="00436E"/>
          <w:sz w:val="28"/>
          <w:szCs w:val="28"/>
        </w:rPr>
      </w:pPr>
      <w:r>
        <w:rPr>
          <w:b/>
          <w:i/>
          <w:color w:val="00436E"/>
        </w:rPr>
        <w:br w:type="page"/>
      </w:r>
    </w:p>
    <w:p w14:paraId="64BC3A47" w14:textId="0B95FC73" w:rsidR="00092D7A" w:rsidRDefault="00092D7A" w:rsidP="00092D7A">
      <w:pPr>
        <w:pStyle w:val="Heading2"/>
        <w:spacing w:line="360" w:lineRule="auto"/>
        <w:rPr>
          <w:b w:val="0"/>
          <w:i w:val="0"/>
          <w:color w:val="00436E"/>
        </w:rPr>
      </w:pPr>
      <w:bookmarkStart w:id="18" w:name="_Toc205456089"/>
      <w:r w:rsidRPr="00092D7A">
        <w:rPr>
          <w:b w:val="0"/>
          <w:i w:val="0"/>
          <w:color w:val="00436E"/>
        </w:rPr>
        <w:lastRenderedPageBreak/>
        <w:t>Upload and Storage</w:t>
      </w:r>
      <w:bookmarkEnd w:id="18"/>
    </w:p>
    <w:p w14:paraId="11987DD3" w14:textId="77777777" w:rsidR="00831351" w:rsidRPr="009631AD" w:rsidRDefault="00831351" w:rsidP="007F3959">
      <w:pPr>
        <w:pStyle w:val="Heading2"/>
        <w:numPr>
          <w:ilvl w:val="0"/>
          <w:numId w:val="0"/>
        </w:numPr>
        <w:spacing w:line="360" w:lineRule="auto"/>
        <w:jc w:val="both"/>
        <w:rPr>
          <w:b w:val="0"/>
          <w:bCs w:val="0"/>
          <w:i w:val="0"/>
          <w:iCs w:val="0"/>
          <w:sz w:val="20"/>
          <w:szCs w:val="20"/>
        </w:rPr>
      </w:pPr>
      <w:bookmarkStart w:id="19" w:name="_Toc205456090"/>
      <w:r w:rsidRPr="009631AD">
        <w:rPr>
          <w:b w:val="0"/>
          <w:bCs w:val="0"/>
          <w:i w:val="0"/>
          <w:iCs w:val="0"/>
          <w:sz w:val="20"/>
          <w:szCs w:val="20"/>
        </w:rPr>
        <w:t>Licensed Providers shall authorise two users from their organisation to upload and access their own organisation’s monthly Customer Data Reports. No other LP User shall be able to access these reports and no user from a different LP shall be able to access the reports.</w:t>
      </w:r>
      <w:bookmarkEnd w:id="19"/>
    </w:p>
    <w:p w14:paraId="35693D86" w14:textId="77777777" w:rsidR="00831351" w:rsidRPr="009631AD" w:rsidRDefault="00831351" w:rsidP="007F3959">
      <w:pPr>
        <w:pStyle w:val="Heading2"/>
        <w:numPr>
          <w:ilvl w:val="0"/>
          <w:numId w:val="0"/>
        </w:numPr>
        <w:spacing w:line="360" w:lineRule="auto"/>
        <w:jc w:val="both"/>
        <w:rPr>
          <w:b w:val="0"/>
          <w:bCs w:val="0"/>
          <w:i w:val="0"/>
          <w:iCs w:val="0"/>
          <w:sz w:val="20"/>
          <w:szCs w:val="20"/>
        </w:rPr>
      </w:pPr>
      <w:bookmarkStart w:id="20" w:name="_Toc205456091"/>
      <w:r w:rsidRPr="009631AD">
        <w:rPr>
          <w:b w:val="0"/>
          <w:bCs w:val="0"/>
          <w:i w:val="0"/>
          <w:iCs w:val="0"/>
          <w:sz w:val="20"/>
          <w:szCs w:val="20"/>
        </w:rPr>
        <w:t>To store Customer Data Reports, the CMA shall provide LPs with secure file storage that will not form part of the Central Systems. The CMA shall restrict access to these reports to CMA users who need to access them to carry out the CMA’s obligations in relation to POLR.</w:t>
      </w:r>
      <w:bookmarkEnd w:id="20"/>
    </w:p>
    <w:p w14:paraId="7E265A35" w14:textId="353CF8BF" w:rsidR="00831351" w:rsidRDefault="00831351" w:rsidP="007F3959">
      <w:pPr>
        <w:pStyle w:val="Heading2"/>
        <w:numPr>
          <w:ilvl w:val="0"/>
          <w:numId w:val="0"/>
        </w:numPr>
        <w:spacing w:line="360" w:lineRule="auto"/>
        <w:jc w:val="both"/>
        <w:rPr>
          <w:color w:val="FF0000"/>
          <w:szCs w:val="20"/>
        </w:rPr>
      </w:pPr>
      <w:bookmarkStart w:id="21" w:name="_Toc205456092"/>
      <w:r w:rsidRPr="009631AD">
        <w:rPr>
          <w:b w:val="0"/>
          <w:bCs w:val="0"/>
          <w:i w:val="0"/>
          <w:iCs w:val="0"/>
          <w:sz w:val="20"/>
          <w:szCs w:val="20"/>
        </w:rPr>
        <w:t>The Customer Data Reports shall be treated as Market Personal Data</w:t>
      </w:r>
      <w:bookmarkEnd w:id="21"/>
      <w:r w:rsidR="00C3422A">
        <w:rPr>
          <w:b w:val="0"/>
          <w:bCs w:val="0"/>
          <w:i w:val="0"/>
          <w:iCs w:val="0"/>
          <w:sz w:val="20"/>
          <w:szCs w:val="20"/>
        </w:rPr>
        <w:t>.</w:t>
      </w:r>
    </w:p>
    <w:p w14:paraId="24201B51" w14:textId="77777777" w:rsidR="009631AD" w:rsidRDefault="009631AD" w:rsidP="007B115A">
      <w:pPr>
        <w:jc w:val="both"/>
        <w:rPr>
          <w:color w:val="FF0000"/>
        </w:rPr>
      </w:pPr>
    </w:p>
    <w:p w14:paraId="7EC4B196" w14:textId="1706BBA7" w:rsidR="009631AD" w:rsidRPr="009631AD" w:rsidRDefault="009631AD" w:rsidP="009631AD">
      <w:pPr>
        <w:pStyle w:val="Heading2"/>
        <w:spacing w:line="360" w:lineRule="auto"/>
        <w:rPr>
          <w:b w:val="0"/>
          <w:i w:val="0"/>
          <w:color w:val="00436E"/>
        </w:rPr>
      </w:pPr>
      <w:bookmarkStart w:id="22" w:name="_Toc205456093"/>
      <w:r w:rsidRPr="009631AD">
        <w:rPr>
          <w:b w:val="0"/>
          <w:i w:val="0"/>
          <w:color w:val="00436E"/>
        </w:rPr>
        <w:t>Data validity checks</w:t>
      </w:r>
      <w:bookmarkEnd w:id="22"/>
    </w:p>
    <w:p w14:paraId="09F7E158" w14:textId="77777777" w:rsidR="009631AD" w:rsidRPr="00C3422A" w:rsidRDefault="009631AD" w:rsidP="00DC5F9F">
      <w:pPr>
        <w:pStyle w:val="Heading2"/>
        <w:numPr>
          <w:ilvl w:val="0"/>
          <w:numId w:val="0"/>
        </w:numPr>
        <w:spacing w:line="360" w:lineRule="auto"/>
        <w:rPr>
          <w:b w:val="0"/>
          <w:i w:val="0"/>
          <w:iCs w:val="0"/>
          <w:color w:val="00436E"/>
          <w:sz w:val="20"/>
          <w:szCs w:val="20"/>
        </w:rPr>
      </w:pPr>
      <w:bookmarkStart w:id="23" w:name="_Toc205456094"/>
      <w:r w:rsidRPr="00C3422A">
        <w:rPr>
          <w:b w:val="0"/>
          <w:i w:val="0"/>
          <w:iCs w:val="0"/>
          <w:color w:val="00436E"/>
          <w:sz w:val="20"/>
          <w:szCs w:val="20"/>
        </w:rPr>
        <w:t>Parity</w:t>
      </w:r>
      <w:bookmarkEnd w:id="23"/>
    </w:p>
    <w:p w14:paraId="7C8FC2A1" w14:textId="77777777" w:rsidR="009631AD" w:rsidRPr="009631AD" w:rsidRDefault="009631AD" w:rsidP="007F3959">
      <w:pPr>
        <w:pStyle w:val="Heading2"/>
        <w:numPr>
          <w:ilvl w:val="0"/>
          <w:numId w:val="0"/>
        </w:numPr>
        <w:spacing w:line="360" w:lineRule="auto"/>
        <w:jc w:val="both"/>
        <w:rPr>
          <w:b w:val="0"/>
          <w:bCs w:val="0"/>
          <w:i w:val="0"/>
          <w:iCs w:val="0"/>
          <w:sz w:val="20"/>
          <w:szCs w:val="20"/>
        </w:rPr>
      </w:pPr>
      <w:bookmarkStart w:id="24" w:name="_Toc205456095"/>
      <w:r w:rsidRPr="009631AD">
        <w:rPr>
          <w:b w:val="0"/>
          <w:bCs w:val="0"/>
          <w:i w:val="0"/>
          <w:iCs w:val="0"/>
          <w:sz w:val="20"/>
          <w:szCs w:val="20"/>
        </w:rPr>
        <w:t>The CMA will check that the total number of SPIDs in the Customer Data Report matches the number of SPIDs registered to that Licensed Provider on the final day of the month in question. The CMA will apply a tolerance of 1% to the number of SPIDs.</w:t>
      </w:r>
      <w:bookmarkEnd w:id="24"/>
    </w:p>
    <w:p w14:paraId="26BCB2A4" w14:textId="77777777" w:rsidR="009631AD" w:rsidRPr="00C3422A" w:rsidRDefault="009631AD" w:rsidP="00DC5F9F">
      <w:pPr>
        <w:pStyle w:val="Heading2"/>
        <w:numPr>
          <w:ilvl w:val="0"/>
          <w:numId w:val="0"/>
        </w:numPr>
        <w:spacing w:line="360" w:lineRule="auto"/>
        <w:rPr>
          <w:b w:val="0"/>
          <w:i w:val="0"/>
          <w:iCs w:val="0"/>
          <w:color w:val="00436E"/>
          <w:sz w:val="20"/>
          <w:szCs w:val="20"/>
        </w:rPr>
      </w:pPr>
      <w:bookmarkStart w:id="25" w:name="_Toc205456096"/>
      <w:r w:rsidRPr="00C3422A">
        <w:rPr>
          <w:b w:val="0"/>
          <w:i w:val="0"/>
          <w:iCs w:val="0"/>
          <w:color w:val="00436E"/>
          <w:sz w:val="20"/>
          <w:szCs w:val="20"/>
        </w:rPr>
        <w:t>Completeness</w:t>
      </w:r>
      <w:bookmarkEnd w:id="25"/>
    </w:p>
    <w:p w14:paraId="08C68B7A" w14:textId="77777777" w:rsidR="009631AD" w:rsidRPr="009631AD" w:rsidRDefault="009631AD" w:rsidP="007F3959">
      <w:pPr>
        <w:pStyle w:val="Heading2"/>
        <w:numPr>
          <w:ilvl w:val="0"/>
          <w:numId w:val="0"/>
        </w:numPr>
        <w:spacing w:line="360" w:lineRule="auto"/>
        <w:jc w:val="both"/>
        <w:rPr>
          <w:b w:val="0"/>
          <w:bCs w:val="0"/>
          <w:i w:val="0"/>
          <w:iCs w:val="0"/>
          <w:sz w:val="20"/>
          <w:szCs w:val="20"/>
        </w:rPr>
      </w:pPr>
      <w:bookmarkStart w:id="26" w:name="_Toc205456097"/>
      <w:r w:rsidRPr="009631AD">
        <w:rPr>
          <w:b w:val="0"/>
          <w:bCs w:val="0"/>
          <w:i w:val="0"/>
          <w:iCs w:val="0"/>
          <w:sz w:val="20"/>
          <w:szCs w:val="20"/>
        </w:rPr>
        <w:t>The CMA will make an assessment the number of null data items and check email addresses and telephone numbers for formatting errors and obvious data errors.</w:t>
      </w:r>
      <w:bookmarkEnd w:id="26"/>
      <w:r w:rsidRPr="009631AD">
        <w:rPr>
          <w:b w:val="0"/>
          <w:bCs w:val="0"/>
          <w:i w:val="0"/>
          <w:iCs w:val="0"/>
          <w:sz w:val="20"/>
          <w:szCs w:val="20"/>
        </w:rPr>
        <w:t xml:space="preserve"> </w:t>
      </w:r>
    </w:p>
    <w:p w14:paraId="43E1727B" w14:textId="77777777" w:rsidR="009631AD" w:rsidRDefault="009631AD" w:rsidP="009631AD">
      <w:pPr>
        <w:ind w:left="720"/>
        <w:jc w:val="both"/>
        <w:rPr>
          <w:color w:val="FF0000"/>
        </w:rPr>
      </w:pPr>
    </w:p>
    <w:p w14:paraId="3AF1A423" w14:textId="2EE15E73" w:rsidR="009631AD" w:rsidRPr="009631AD" w:rsidRDefault="009631AD" w:rsidP="009631AD">
      <w:pPr>
        <w:pStyle w:val="Heading2"/>
        <w:spacing w:line="360" w:lineRule="auto"/>
        <w:rPr>
          <w:b w:val="0"/>
          <w:i w:val="0"/>
          <w:color w:val="00436E"/>
        </w:rPr>
      </w:pPr>
      <w:bookmarkStart w:id="27" w:name="_Toc205456098"/>
      <w:r w:rsidRPr="009631AD">
        <w:rPr>
          <w:b w:val="0"/>
          <w:i w:val="0"/>
          <w:color w:val="00436E"/>
        </w:rPr>
        <w:t>Data not provided or data quality concerns</w:t>
      </w:r>
      <w:bookmarkEnd w:id="27"/>
    </w:p>
    <w:p w14:paraId="29913B14" w14:textId="77777777" w:rsidR="009631AD" w:rsidRPr="009631AD" w:rsidRDefault="009631AD" w:rsidP="007F3959">
      <w:pPr>
        <w:pStyle w:val="Heading2"/>
        <w:numPr>
          <w:ilvl w:val="0"/>
          <w:numId w:val="0"/>
        </w:numPr>
        <w:spacing w:line="360" w:lineRule="auto"/>
        <w:jc w:val="both"/>
        <w:rPr>
          <w:b w:val="0"/>
          <w:bCs w:val="0"/>
          <w:i w:val="0"/>
          <w:iCs w:val="0"/>
          <w:sz w:val="20"/>
          <w:szCs w:val="20"/>
        </w:rPr>
      </w:pPr>
      <w:bookmarkStart w:id="28" w:name="_Toc205456099"/>
      <w:r w:rsidRPr="009631AD">
        <w:rPr>
          <w:b w:val="0"/>
          <w:bCs w:val="0"/>
          <w:i w:val="0"/>
          <w:iCs w:val="0"/>
          <w:sz w:val="20"/>
          <w:szCs w:val="20"/>
        </w:rPr>
        <w:t>Where the Customer Data Report has not been uploaded by a Licensed Provider by the end of the tenth Business Day of the month or where the CMA has concerns about the quality of the data provided, the CMA will raise these issues with the Licensed Provider’s Contract Manager.</w:t>
      </w:r>
      <w:bookmarkEnd w:id="28"/>
    </w:p>
    <w:p w14:paraId="29997140" w14:textId="49D81FE6" w:rsidR="009631AD" w:rsidRPr="009631AD" w:rsidRDefault="009631AD" w:rsidP="007F3959">
      <w:pPr>
        <w:pStyle w:val="Heading2"/>
        <w:numPr>
          <w:ilvl w:val="0"/>
          <w:numId w:val="0"/>
        </w:numPr>
        <w:spacing w:line="360" w:lineRule="auto"/>
        <w:jc w:val="both"/>
        <w:rPr>
          <w:b w:val="0"/>
          <w:bCs w:val="0"/>
          <w:i w:val="0"/>
          <w:iCs w:val="0"/>
          <w:sz w:val="20"/>
          <w:szCs w:val="20"/>
        </w:rPr>
      </w:pPr>
      <w:bookmarkStart w:id="29" w:name="_Toc205456100"/>
      <w:r w:rsidRPr="009631AD">
        <w:rPr>
          <w:b w:val="0"/>
          <w:bCs w:val="0"/>
          <w:i w:val="0"/>
          <w:iCs w:val="0"/>
          <w:sz w:val="20"/>
          <w:szCs w:val="20"/>
        </w:rPr>
        <w:t xml:space="preserve">If the CMA is not satisfied with the response of the Licensed Provider and/or issues are not rectified in a reasonable time </w:t>
      </w:r>
      <w:r w:rsidRPr="009631AD">
        <w:rPr>
          <w:b w:val="0"/>
          <w:bCs w:val="0"/>
          <w:i w:val="0"/>
          <w:iCs w:val="0"/>
          <w:sz w:val="20"/>
          <w:szCs w:val="20"/>
        </w:rPr>
        <w:t>frame,</w:t>
      </w:r>
      <w:r w:rsidRPr="009631AD">
        <w:rPr>
          <w:b w:val="0"/>
          <w:bCs w:val="0"/>
          <w:i w:val="0"/>
          <w:iCs w:val="0"/>
          <w:sz w:val="20"/>
          <w:szCs w:val="20"/>
        </w:rPr>
        <w:t xml:space="preserve"> then the CMA may report its concerns to the Commission.</w:t>
      </w:r>
      <w:bookmarkEnd w:id="29"/>
      <w:r w:rsidR="007B115A">
        <w:rPr>
          <w:b w:val="0"/>
          <w:bCs w:val="0"/>
          <w:i w:val="0"/>
          <w:iCs w:val="0"/>
          <w:sz w:val="20"/>
          <w:szCs w:val="20"/>
        </w:rPr>
        <w:br/>
      </w:r>
    </w:p>
    <w:p w14:paraId="7E9A7505" w14:textId="77777777" w:rsidR="009631AD" w:rsidRDefault="009631AD" w:rsidP="009631AD">
      <w:pPr>
        <w:ind w:left="720"/>
        <w:jc w:val="both"/>
        <w:rPr>
          <w:color w:val="FF0000"/>
        </w:rPr>
      </w:pPr>
    </w:p>
    <w:p w14:paraId="33197B3D" w14:textId="0908C2FA" w:rsidR="009631AD" w:rsidRPr="00DC5F9F" w:rsidRDefault="009631AD" w:rsidP="00DC5F9F">
      <w:pPr>
        <w:pStyle w:val="Heading2"/>
        <w:spacing w:line="360" w:lineRule="auto"/>
        <w:rPr>
          <w:b w:val="0"/>
          <w:i w:val="0"/>
          <w:color w:val="00436E"/>
        </w:rPr>
      </w:pPr>
      <w:bookmarkStart w:id="30" w:name="_Toc205456101"/>
      <w:r w:rsidRPr="001B6650">
        <w:rPr>
          <w:b w:val="0"/>
          <w:i w:val="0"/>
          <w:color w:val="00436E"/>
        </w:rPr>
        <w:t>Data retention</w:t>
      </w:r>
      <w:bookmarkEnd w:id="30"/>
    </w:p>
    <w:p w14:paraId="7399A162" w14:textId="77777777" w:rsidR="009631AD" w:rsidRPr="001B6650" w:rsidRDefault="009631AD" w:rsidP="007F3959">
      <w:pPr>
        <w:pStyle w:val="Heading2"/>
        <w:numPr>
          <w:ilvl w:val="0"/>
          <w:numId w:val="0"/>
        </w:numPr>
        <w:spacing w:line="360" w:lineRule="auto"/>
        <w:jc w:val="both"/>
        <w:rPr>
          <w:b w:val="0"/>
          <w:bCs w:val="0"/>
          <w:i w:val="0"/>
          <w:iCs w:val="0"/>
          <w:sz w:val="20"/>
          <w:szCs w:val="20"/>
        </w:rPr>
      </w:pPr>
      <w:bookmarkStart w:id="31" w:name="_Toc205456102"/>
      <w:r w:rsidRPr="001B6650">
        <w:rPr>
          <w:b w:val="0"/>
          <w:bCs w:val="0"/>
          <w:i w:val="0"/>
          <w:iCs w:val="0"/>
          <w:sz w:val="20"/>
          <w:szCs w:val="20"/>
        </w:rPr>
        <w:t xml:space="preserve">The CMA shall retain the two most recent Customer Data Reports for each Licensed Provider. Once a third Customer Data Report has been submitted and passed the data validity checks </w:t>
      </w:r>
      <w:r w:rsidRPr="001B6650">
        <w:rPr>
          <w:b w:val="0"/>
          <w:bCs w:val="0"/>
          <w:i w:val="0"/>
          <w:iCs w:val="0"/>
          <w:sz w:val="20"/>
          <w:szCs w:val="20"/>
        </w:rPr>
        <w:lastRenderedPageBreak/>
        <w:t>outlined in Section 4.4, the CMA shall delete the oldest Customer Data Report of that Licensed Provider.</w:t>
      </w:r>
      <w:bookmarkEnd w:id="31"/>
    </w:p>
    <w:p w14:paraId="67D11EB7" w14:textId="77777777" w:rsidR="009631AD" w:rsidRDefault="009631AD" w:rsidP="009631AD">
      <w:pPr>
        <w:ind w:left="720"/>
        <w:jc w:val="both"/>
        <w:rPr>
          <w:color w:val="FF0000"/>
        </w:rPr>
      </w:pPr>
    </w:p>
    <w:p w14:paraId="5C9444E5" w14:textId="10BC3617" w:rsidR="009631AD" w:rsidRPr="001B6650" w:rsidRDefault="009631AD" w:rsidP="001B6650">
      <w:pPr>
        <w:pStyle w:val="Heading2"/>
        <w:spacing w:line="360" w:lineRule="auto"/>
        <w:rPr>
          <w:b w:val="0"/>
          <w:i w:val="0"/>
          <w:color w:val="00436E"/>
        </w:rPr>
      </w:pPr>
      <w:bookmarkStart w:id="32" w:name="_Toc205456103"/>
      <w:r w:rsidRPr="001B6650">
        <w:rPr>
          <w:b w:val="0"/>
          <w:i w:val="0"/>
          <w:color w:val="00436E"/>
        </w:rPr>
        <w:t>Use of Customer Data Reports</w:t>
      </w:r>
      <w:bookmarkEnd w:id="32"/>
    </w:p>
    <w:p w14:paraId="3F23ED0B" w14:textId="77777777" w:rsidR="009631AD" w:rsidRDefault="009631AD" w:rsidP="009631AD">
      <w:pPr>
        <w:ind w:left="720"/>
        <w:jc w:val="both"/>
        <w:rPr>
          <w:color w:val="FF0000"/>
        </w:rPr>
      </w:pPr>
    </w:p>
    <w:p w14:paraId="60498F64" w14:textId="77777777" w:rsidR="009631AD" w:rsidRPr="00810A47" w:rsidRDefault="009631AD" w:rsidP="00C74784">
      <w:pPr>
        <w:jc w:val="both"/>
      </w:pPr>
      <w:r w:rsidRPr="00810A47">
        <w:t>The CMA shall only use the data within the Customer Data Reports:</w:t>
      </w:r>
    </w:p>
    <w:p w14:paraId="010EEBB7" w14:textId="77777777" w:rsidR="009631AD" w:rsidRDefault="009631AD" w:rsidP="00C74784">
      <w:pPr>
        <w:ind w:left="720"/>
        <w:jc w:val="both"/>
        <w:rPr>
          <w:color w:val="FF0000"/>
        </w:rPr>
      </w:pPr>
    </w:p>
    <w:p w14:paraId="34756CAD" w14:textId="77777777" w:rsidR="009631AD" w:rsidRPr="00512D9C" w:rsidRDefault="009631AD" w:rsidP="00C74784">
      <w:pPr>
        <w:numPr>
          <w:ilvl w:val="0"/>
          <w:numId w:val="17"/>
        </w:numPr>
        <w:spacing w:before="40" w:line="360" w:lineRule="auto"/>
        <w:jc w:val="both"/>
      </w:pPr>
      <w:r w:rsidRPr="00512D9C">
        <w:t>to carry out the data validity checks outlined in Section 4.4 of this CSD</w:t>
      </w:r>
    </w:p>
    <w:p w14:paraId="17D6EE3C" w14:textId="77777777" w:rsidR="009631AD" w:rsidRPr="00512D9C" w:rsidRDefault="009631AD" w:rsidP="00C74784">
      <w:pPr>
        <w:numPr>
          <w:ilvl w:val="0"/>
          <w:numId w:val="17"/>
        </w:numPr>
        <w:spacing w:before="40" w:line="360" w:lineRule="auto"/>
        <w:jc w:val="both"/>
      </w:pPr>
      <w:r w:rsidRPr="00512D9C">
        <w:t>for audit purposes in accordance with Section 6.8 of the Market Code. This may include auditing the Customer Data Reports to ensure the data provided are accurate, up to date and complete as well as comparison of relevant fields against data held in the Central Systems,</w:t>
      </w:r>
    </w:p>
    <w:p w14:paraId="2B7E3A6B" w14:textId="77777777" w:rsidR="009631AD" w:rsidRPr="00512D9C" w:rsidRDefault="009631AD" w:rsidP="00C74784">
      <w:pPr>
        <w:numPr>
          <w:ilvl w:val="0"/>
          <w:numId w:val="17"/>
        </w:numPr>
        <w:spacing w:before="40" w:line="360" w:lineRule="auto"/>
        <w:jc w:val="both"/>
      </w:pPr>
      <w:r w:rsidRPr="00512D9C">
        <w:t xml:space="preserve">in the event of a </w:t>
      </w:r>
      <w:proofErr w:type="spellStart"/>
      <w:r w:rsidRPr="00512D9C">
        <w:t>PoLR</w:t>
      </w:r>
      <w:proofErr w:type="spellEnd"/>
      <w:r w:rsidRPr="00512D9C">
        <w:t xml:space="preserve"> SPID allocation, to identify, extract and share the Customer data associated with SPIDs with the Incoming Licensed Provider to whom the SPIDs have been allocated.</w:t>
      </w:r>
    </w:p>
    <w:p w14:paraId="20DE1DC8" w14:textId="7158AF51" w:rsidR="00810A47" w:rsidRDefault="00810A47">
      <w:pPr>
        <w:rPr>
          <w:bCs/>
          <w:iCs/>
          <w:color w:val="00436E"/>
          <w:sz w:val="28"/>
          <w:szCs w:val="28"/>
        </w:rPr>
      </w:pPr>
      <w:r>
        <w:rPr>
          <w:b/>
          <w:i/>
          <w:color w:val="00436E"/>
        </w:rPr>
        <w:br w:type="page"/>
      </w:r>
    </w:p>
    <w:p w14:paraId="724AB3A1" w14:textId="77777777" w:rsidR="00731B1A" w:rsidRPr="00191ACF" w:rsidRDefault="00731B1A" w:rsidP="00092D7A">
      <w:pPr>
        <w:pStyle w:val="Heading2"/>
        <w:numPr>
          <w:ilvl w:val="0"/>
          <w:numId w:val="0"/>
        </w:numPr>
        <w:spacing w:line="360" w:lineRule="auto"/>
        <w:ind w:left="576"/>
        <w:rPr>
          <w:b w:val="0"/>
          <w:i w:val="0"/>
          <w:color w:val="00436E"/>
        </w:rPr>
      </w:pPr>
    </w:p>
    <w:p w14:paraId="61A4D5A2" w14:textId="52AA5D3B" w:rsidR="00342EC9" w:rsidRPr="00191ACF" w:rsidRDefault="00342EC9" w:rsidP="00342EC9">
      <w:pPr>
        <w:pStyle w:val="Heading1"/>
        <w:numPr>
          <w:ilvl w:val="0"/>
          <w:numId w:val="0"/>
        </w:numPr>
        <w:tabs>
          <w:tab w:val="num" w:pos="624"/>
        </w:tabs>
        <w:spacing w:before="100" w:beforeAutospacing="1" w:after="100" w:afterAutospacing="1" w:line="360" w:lineRule="auto"/>
        <w:rPr>
          <w:b w:val="0"/>
          <w:color w:val="00436E"/>
        </w:rPr>
      </w:pPr>
      <w:bookmarkStart w:id="33" w:name="_Toc164655255"/>
      <w:bookmarkStart w:id="34" w:name="_Toc205456104"/>
      <w:r w:rsidRPr="00191ACF">
        <w:rPr>
          <w:b w:val="0"/>
          <w:color w:val="00436E"/>
        </w:rPr>
        <w:t>Appendix 1 – Process Diagram Symbols</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1795"/>
        <w:gridCol w:w="4064"/>
      </w:tblGrid>
      <w:tr w:rsidR="00342EC9" w14:paraId="1259E145" w14:textId="77777777" w:rsidTr="00342EC9">
        <w:tc>
          <w:tcPr>
            <w:tcW w:w="2448" w:type="dxa"/>
          </w:tcPr>
          <w:p w14:paraId="0BA4909B" w14:textId="77777777" w:rsidR="00342EC9" w:rsidRDefault="00342EC9" w:rsidP="00342EC9">
            <w:pPr>
              <w:jc w:val="center"/>
              <w:rPr>
                <w:b/>
              </w:rPr>
            </w:pPr>
          </w:p>
          <w:p w14:paraId="434C3B3D" w14:textId="77777777" w:rsidR="00342EC9" w:rsidRDefault="00342EC9" w:rsidP="00342EC9">
            <w:pPr>
              <w:jc w:val="center"/>
              <w:rPr>
                <w:b/>
              </w:rPr>
            </w:pPr>
            <w:r>
              <w:rPr>
                <w:b/>
              </w:rPr>
              <w:t>Symbol</w:t>
            </w:r>
          </w:p>
        </w:tc>
        <w:tc>
          <w:tcPr>
            <w:tcW w:w="1800" w:type="dxa"/>
          </w:tcPr>
          <w:p w14:paraId="5E895E16" w14:textId="77777777" w:rsidR="00342EC9" w:rsidRDefault="00342EC9" w:rsidP="00342EC9">
            <w:pPr>
              <w:rPr>
                <w:b/>
              </w:rPr>
            </w:pPr>
          </w:p>
          <w:p w14:paraId="56EB6468" w14:textId="77777777" w:rsidR="00342EC9" w:rsidRDefault="00342EC9" w:rsidP="00342EC9">
            <w:pPr>
              <w:rPr>
                <w:b/>
              </w:rPr>
            </w:pPr>
            <w:r>
              <w:rPr>
                <w:b/>
              </w:rPr>
              <w:t>Name</w:t>
            </w:r>
          </w:p>
        </w:tc>
        <w:tc>
          <w:tcPr>
            <w:tcW w:w="4274" w:type="dxa"/>
          </w:tcPr>
          <w:p w14:paraId="1F77D1A2" w14:textId="77777777" w:rsidR="00342EC9" w:rsidRDefault="00342EC9" w:rsidP="00342EC9">
            <w:pPr>
              <w:rPr>
                <w:b/>
              </w:rPr>
            </w:pPr>
          </w:p>
          <w:p w14:paraId="52B20440" w14:textId="77777777" w:rsidR="00342EC9" w:rsidRDefault="00342EC9" w:rsidP="00342EC9">
            <w:pPr>
              <w:rPr>
                <w:b/>
              </w:rPr>
            </w:pPr>
            <w:r>
              <w:rPr>
                <w:b/>
              </w:rPr>
              <w:t>Details</w:t>
            </w:r>
          </w:p>
        </w:tc>
      </w:tr>
      <w:tr w:rsidR="00342EC9" w14:paraId="548DCF9D" w14:textId="77777777" w:rsidTr="00342EC9">
        <w:tc>
          <w:tcPr>
            <w:tcW w:w="2448" w:type="dxa"/>
          </w:tcPr>
          <w:p w14:paraId="1D23DBA0" w14:textId="77777777" w:rsidR="00342EC9" w:rsidRDefault="00342EC9" w:rsidP="00342EC9">
            <w:pPr>
              <w:jc w:val="center"/>
            </w:pPr>
            <w:r>
              <w:object w:dxaOrig="2163" w:dyaOrig="1435" w14:anchorId="0BE5CFAF">
                <v:shape id="_x0000_i1026" type="#_x0000_t75" style="width:108pt;height:1in" o:ole="">
                  <v:imagedata r:id="rId14" o:title=""/>
                </v:shape>
                <o:OLEObject Type="Embed" ProgID="Visio.Drawing.11" ShapeID="_x0000_i1026" DrawAspect="Content" ObjectID="_1816070077" r:id="rId15"/>
              </w:object>
            </w:r>
          </w:p>
        </w:tc>
        <w:tc>
          <w:tcPr>
            <w:tcW w:w="1800" w:type="dxa"/>
          </w:tcPr>
          <w:p w14:paraId="03AD4E83" w14:textId="77777777" w:rsidR="00342EC9" w:rsidRDefault="00342EC9" w:rsidP="00342EC9"/>
          <w:p w14:paraId="2AA9B2B6" w14:textId="77777777" w:rsidR="00342EC9" w:rsidRDefault="00342EC9" w:rsidP="00342EC9">
            <w:r>
              <w:t>Step</w:t>
            </w:r>
          </w:p>
        </w:tc>
        <w:tc>
          <w:tcPr>
            <w:tcW w:w="4274" w:type="dxa"/>
          </w:tcPr>
          <w:p w14:paraId="4B39AFA8" w14:textId="77777777" w:rsidR="00342EC9" w:rsidRDefault="00342EC9" w:rsidP="00342EC9"/>
          <w:p w14:paraId="7F149B11" w14:textId="77777777" w:rsidR="00342EC9" w:rsidRDefault="00342EC9" w:rsidP="00342EC9">
            <w:r>
              <w:t>An action step. It appears in the “swimlane” of the party responsible for performing the action.</w:t>
            </w:r>
          </w:p>
        </w:tc>
      </w:tr>
      <w:tr w:rsidR="00342EC9" w14:paraId="37528EBF" w14:textId="77777777" w:rsidTr="00342EC9">
        <w:tc>
          <w:tcPr>
            <w:tcW w:w="2448" w:type="dxa"/>
          </w:tcPr>
          <w:p w14:paraId="5F629E5D" w14:textId="77777777" w:rsidR="00342EC9" w:rsidRDefault="00342EC9" w:rsidP="00342EC9">
            <w:pPr>
              <w:jc w:val="center"/>
            </w:pPr>
          </w:p>
          <w:p w14:paraId="656237F0" w14:textId="77777777" w:rsidR="00342EC9" w:rsidRDefault="00342EC9" w:rsidP="00342EC9">
            <w:pPr>
              <w:jc w:val="center"/>
            </w:pPr>
            <w:r>
              <w:object w:dxaOrig="1586" w:dyaOrig="1075" w14:anchorId="0A5D24B3">
                <v:shape id="_x0000_i1027" type="#_x0000_t75" style="width:79.2pt;height:54.6pt" o:ole="">
                  <v:imagedata r:id="rId16" o:title=""/>
                </v:shape>
                <o:OLEObject Type="Embed" ProgID="Visio.Drawing.11" ShapeID="_x0000_i1027" DrawAspect="Content" ObjectID="_1816070078" r:id="rId17"/>
              </w:object>
            </w:r>
          </w:p>
        </w:tc>
        <w:tc>
          <w:tcPr>
            <w:tcW w:w="1800" w:type="dxa"/>
          </w:tcPr>
          <w:p w14:paraId="0408F072" w14:textId="77777777" w:rsidR="00342EC9" w:rsidRDefault="00342EC9" w:rsidP="00342EC9"/>
          <w:p w14:paraId="65FCFB5C" w14:textId="77777777" w:rsidR="00342EC9" w:rsidRDefault="00342EC9" w:rsidP="00342EC9">
            <w:r>
              <w:t>Decision</w:t>
            </w:r>
          </w:p>
        </w:tc>
        <w:tc>
          <w:tcPr>
            <w:tcW w:w="4274" w:type="dxa"/>
          </w:tcPr>
          <w:p w14:paraId="3543F03C" w14:textId="77777777" w:rsidR="00342EC9" w:rsidRDefault="00342EC9" w:rsidP="00342EC9"/>
          <w:p w14:paraId="0A63F249" w14:textId="77777777" w:rsidR="00342EC9" w:rsidRDefault="00342EC9" w:rsidP="00342EC9">
            <w:r>
              <w:t xml:space="preserve">A decisive question rather than an action. Followed by Yes or No, or occasionally WS (Water Service) or SS (Sewerage Service) the process splits depending on the answer to the question in the decision diamond. </w:t>
            </w:r>
          </w:p>
        </w:tc>
      </w:tr>
      <w:tr w:rsidR="00342EC9" w14:paraId="601F51EF" w14:textId="77777777" w:rsidTr="00342EC9">
        <w:tc>
          <w:tcPr>
            <w:tcW w:w="2448" w:type="dxa"/>
          </w:tcPr>
          <w:p w14:paraId="753B0003" w14:textId="77777777" w:rsidR="00342EC9" w:rsidRDefault="00342EC9" w:rsidP="00342EC9">
            <w:pPr>
              <w:jc w:val="center"/>
            </w:pPr>
            <w:r>
              <w:object w:dxaOrig="1632" w:dyaOrig="820" w14:anchorId="32559C61">
                <v:shape id="_x0000_i1028" type="#_x0000_t75" style="width:82.2pt;height:40.8pt" o:ole="">
                  <v:imagedata r:id="rId18" o:title=""/>
                </v:shape>
                <o:OLEObject Type="Embed" ProgID="Visio.Drawing.11" ShapeID="_x0000_i1028" DrawAspect="Content" ObjectID="_1816070079" r:id="rId19"/>
              </w:object>
            </w:r>
          </w:p>
        </w:tc>
        <w:tc>
          <w:tcPr>
            <w:tcW w:w="1800" w:type="dxa"/>
          </w:tcPr>
          <w:p w14:paraId="737C6FFE" w14:textId="77777777" w:rsidR="00342EC9" w:rsidRDefault="00342EC9" w:rsidP="00342EC9"/>
          <w:p w14:paraId="07E15BB0" w14:textId="77777777" w:rsidR="00342EC9" w:rsidRDefault="00342EC9" w:rsidP="00342EC9">
            <w:r>
              <w:t>To another process</w:t>
            </w:r>
          </w:p>
        </w:tc>
        <w:tc>
          <w:tcPr>
            <w:tcW w:w="4274" w:type="dxa"/>
          </w:tcPr>
          <w:p w14:paraId="6B871E84" w14:textId="77777777" w:rsidR="00342EC9" w:rsidRDefault="00342EC9" w:rsidP="00342EC9"/>
          <w:p w14:paraId="39AA94E8" w14:textId="77777777" w:rsidR="00342EC9" w:rsidRDefault="00342EC9" w:rsidP="00342EC9">
            <w:r>
              <w:t>A flow in, or input to, another documented process</w:t>
            </w:r>
          </w:p>
        </w:tc>
      </w:tr>
      <w:tr w:rsidR="00342EC9" w14:paraId="6335ABE9" w14:textId="77777777" w:rsidTr="00342EC9">
        <w:tc>
          <w:tcPr>
            <w:tcW w:w="2448" w:type="dxa"/>
          </w:tcPr>
          <w:p w14:paraId="2C972CDF" w14:textId="77777777" w:rsidR="00342EC9" w:rsidRDefault="00342EC9" w:rsidP="00342EC9">
            <w:pPr>
              <w:jc w:val="center"/>
            </w:pPr>
            <w:r>
              <w:object w:dxaOrig="1586" w:dyaOrig="849" w14:anchorId="195CF54E">
                <v:shape id="_x0000_i1029" type="#_x0000_t75" style="width:79.2pt;height:42.6pt" o:ole="">
                  <v:imagedata r:id="rId20" o:title=""/>
                </v:shape>
                <o:OLEObject Type="Embed" ProgID="Visio.Drawing.11" ShapeID="_x0000_i1029" DrawAspect="Content" ObjectID="_1816070080" r:id="rId21"/>
              </w:object>
            </w:r>
          </w:p>
        </w:tc>
        <w:tc>
          <w:tcPr>
            <w:tcW w:w="1800" w:type="dxa"/>
          </w:tcPr>
          <w:p w14:paraId="3EA121D5" w14:textId="77777777" w:rsidR="00342EC9" w:rsidRDefault="00342EC9" w:rsidP="00342EC9"/>
          <w:p w14:paraId="469BB268" w14:textId="77777777" w:rsidR="00342EC9" w:rsidRDefault="00342EC9" w:rsidP="00342EC9">
            <w:r>
              <w:t xml:space="preserve">From another process </w:t>
            </w:r>
          </w:p>
        </w:tc>
        <w:tc>
          <w:tcPr>
            <w:tcW w:w="4274" w:type="dxa"/>
          </w:tcPr>
          <w:p w14:paraId="5E182B4D" w14:textId="77777777" w:rsidR="00342EC9" w:rsidRDefault="00342EC9" w:rsidP="00342EC9"/>
          <w:p w14:paraId="60421BE9" w14:textId="77777777" w:rsidR="00342EC9" w:rsidRDefault="00342EC9" w:rsidP="00342EC9">
            <w:r>
              <w:t>A flow in, or output from another documented process.</w:t>
            </w:r>
          </w:p>
        </w:tc>
      </w:tr>
      <w:tr w:rsidR="00342EC9" w14:paraId="0FBBE1B6" w14:textId="77777777" w:rsidTr="00342EC9">
        <w:tc>
          <w:tcPr>
            <w:tcW w:w="2448" w:type="dxa"/>
          </w:tcPr>
          <w:p w14:paraId="1D10E390" w14:textId="77777777" w:rsidR="00342EC9" w:rsidRDefault="00342EC9" w:rsidP="00342EC9">
            <w:pPr>
              <w:jc w:val="center"/>
            </w:pPr>
            <w:r>
              <w:object w:dxaOrig="1787" w:dyaOrig="1032" w14:anchorId="1E3B706E">
                <v:shape id="_x0000_i1030" type="#_x0000_t75" style="width:88.8pt;height:51.6pt" o:ole="">
                  <v:imagedata r:id="rId22" o:title=""/>
                </v:shape>
                <o:OLEObject Type="Embed" ProgID="Visio.Drawing.11" ShapeID="_x0000_i1030" DrawAspect="Content" ObjectID="_1816070081" r:id="rId23"/>
              </w:object>
            </w:r>
          </w:p>
        </w:tc>
        <w:tc>
          <w:tcPr>
            <w:tcW w:w="1800" w:type="dxa"/>
          </w:tcPr>
          <w:p w14:paraId="2BF6BD97" w14:textId="77777777" w:rsidR="00342EC9" w:rsidRDefault="00342EC9" w:rsidP="00342EC9"/>
          <w:p w14:paraId="33D41F20" w14:textId="77777777" w:rsidR="00342EC9" w:rsidRDefault="00342EC9" w:rsidP="00342EC9">
            <w:r>
              <w:t>To and from another process</w:t>
            </w:r>
          </w:p>
        </w:tc>
        <w:tc>
          <w:tcPr>
            <w:tcW w:w="4274" w:type="dxa"/>
          </w:tcPr>
          <w:p w14:paraId="6BBADD39" w14:textId="77777777" w:rsidR="00342EC9" w:rsidRDefault="00342EC9" w:rsidP="00342EC9"/>
          <w:p w14:paraId="7AC5C24C" w14:textId="77777777" w:rsidR="00342EC9" w:rsidRDefault="00342EC9" w:rsidP="00342EC9">
            <w:r>
              <w:t>Used where a process is embedded within another. At this point, go to the embedded process chart before returning to the one in which it is embedded.</w:t>
            </w:r>
          </w:p>
        </w:tc>
      </w:tr>
      <w:tr w:rsidR="00342EC9" w14:paraId="1F11FC80" w14:textId="77777777" w:rsidTr="00342EC9">
        <w:tc>
          <w:tcPr>
            <w:tcW w:w="2448" w:type="dxa"/>
          </w:tcPr>
          <w:p w14:paraId="35CEBF96" w14:textId="77777777" w:rsidR="00342EC9" w:rsidRDefault="00342EC9" w:rsidP="00342EC9">
            <w:pPr>
              <w:jc w:val="center"/>
            </w:pPr>
            <w:r>
              <w:object w:dxaOrig="811" w:dyaOrig="783" w14:anchorId="6954DD30">
                <v:shape id="_x0000_i1031" type="#_x0000_t75" style="width:40.2pt;height:39.6pt" o:ole="">
                  <v:imagedata r:id="rId24" o:title=""/>
                </v:shape>
                <o:OLEObject Type="Embed" ProgID="Visio.Drawing.11" ShapeID="_x0000_i1031" DrawAspect="Content" ObjectID="_1816070082" r:id="rId25"/>
              </w:object>
            </w:r>
          </w:p>
        </w:tc>
        <w:tc>
          <w:tcPr>
            <w:tcW w:w="1800" w:type="dxa"/>
          </w:tcPr>
          <w:p w14:paraId="5798A75F" w14:textId="77777777" w:rsidR="00342EC9" w:rsidRDefault="00342EC9" w:rsidP="00342EC9"/>
          <w:p w14:paraId="1659C51A" w14:textId="77777777" w:rsidR="00342EC9" w:rsidRDefault="00342EC9" w:rsidP="00342EC9">
            <w:r>
              <w:t>End</w:t>
            </w:r>
          </w:p>
        </w:tc>
        <w:tc>
          <w:tcPr>
            <w:tcW w:w="4274" w:type="dxa"/>
          </w:tcPr>
          <w:p w14:paraId="0CEB24E8" w14:textId="77777777" w:rsidR="00342EC9" w:rsidRDefault="00342EC9" w:rsidP="00342EC9"/>
          <w:p w14:paraId="33F37D12" w14:textId="77777777" w:rsidR="00342EC9" w:rsidRDefault="00342EC9" w:rsidP="00342EC9">
            <w:r>
              <w:t xml:space="preserve">Used after a decision diamond, generally to mean “do nothing” as it is the end of the process. </w:t>
            </w:r>
          </w:p>
        </w:tc>
      </w:tr>
      <w:tr w:rsidR="00342EC9" w14:paraId="4010DD22" w14:textId="77777777" w:rsidTr="00342EC9">
        <w:tc>
          <w:tcPr>
            <w:tcW w:w="2448" w:type="dxa"/>
          </w:tcPr>
          <w:p w14:paraId="10106FA1" w14:textId="77777777" w:rsidR="00342EC9" w:rsidRDefault="00342EC9" w:rsidP="00342EC9">
            <w:pPr>
              <w:jc w:val="center"/>
            </w:pPr>
            <w:r>
              <w:object w:dxaOrig="811" w:dyaOrig="783" w14:anchorId="77B6613C">
                <v:shape id="_x0000_i1032" type="#_x0000_t75" style="width:40.2pt;height:39.6pt" o:ole="">
                  <v:imagedata r:id="rId26" o:title=""/>
                </v:shape>
                <o:OLEObject Type="Embed" ProgID="Visio.Drawing.11" ShapeID="_x0000_i1032" DrawAspect="Content" ObjectID="_1816070083" r:id="rId27"/>
              </w:object>
            </w:r>
            <w:r>
              <w:t xml:space="preserve"> </w:t>
            </w:r>
            <w:r>
              <w:object w:dxaOrig="811" w:dyaOrig="783" w14:anchorId="2ABD4318">
                <v:shape id="_x0000_i1033" type="#_x0000_t75" style="width:40.2pt;height:39.6pt" o:ole="">
                  <v:imagedata r:id="rId28" o:title=""/>
                </v:shape>
                <o:OLEObject Type="Embed" ProgID="Visio.Drawing.11" ShapeID="_x0000_i1033" DrawAspect="Content" ObjectID="_1816070084" r:id="rId29"/>
              </w:object>
            </w:r>
          </w:p>
        </w:tc>
        <w:tc>
          <w:tcPr>
            <w:tcW w:w="1800" w:type="dxa"/>
          </w:tcPr>
          <w:p w14:paraId="61971EA5" w14:textId="77777777" w:rsidR="00342EC9" w:rsidRDefault="00342EC9" w:rsidP="00342EC9"/>
          <w:p w14:paraId="7D7F91C1" w14:textId="77777777" w:rsidR="00342EC9" w:rsidRDefault="00342EC9" w:rsidP="00342EC9">
            <w:r>
              <w:t>Advised/Invoiced</w:t>
            </w:r>
          </w:p>
        </w:tc>
        <w:tc>
          <w:tcPr>
            <w:tcW w:w="4274" w:type="dxa"/>
          </w:tcPr>
          <w:p w14:paraId="220795F2" w14:textId="77777777" w:rsidR="00342EC9" w:rsidRDefault="00342EC9" w:rsidP="00342EC9"/>
          <w:p w14:paraId="18103012" w14:textId="77777777" w:rsidR="00342EC9" w:rsidRDefault="00342EC9" w:rsidP="00342EC9">
            <w:r>
              <w:t>Used after a process step to show “passive” action on the part of a data flow receiver e.g. to represent “Advised” or “Invoiced”</w:t>
            </w:r>
          </w:p>
        </w:tc>
      </w:tr>
      <w:tr w:rsidR="00342EC9" w14:paraId="5B1203BB" w14:textId="77777777" w:rsidTr="00342EC9">
        <w:tc>
          <w:tcPr>
            <w:tcW w:w="2448" w:type="dxa"/>
          </w:tcPr>
          <w:p w14:paraId="62003CD6" w14:textId="77777777" w:rsidR="00342EC9" w:rsidRDefault="00342EC9" w:rsidP="00342EC9">
            <w:pPr>
              <w:jc w:val="center"/>
            </w:pPr>
          </w:p>
          <w:p w14:paraId="3E2AD5A1" w14:textId="77777777" w:rsidR="00342EC9" w:rsidRDefault="00342EC9" w:rsidP="00342EC9">
            <w:pPr>
              <w:jc w:val="center"/>
              <w:rPr>
                <w:rFonts w:ascii="Times New Roman" w:hAnsi="Times New Roman" w:cs="Times New Roman"/>
                <w:i/>
              </w:rPr>
            </w:pPr>
            <w:r>
              <w:rPr>
                <w:rFonts w:ascii="Times New Roman" w:hAnsi="Times New Roman" w:cs="Times New Roman"/>
                <w:i/>
              </w:rPr>
              <w:t>g</w:t>
            </w:r>
          </w:p>
          <w:p w14:paraId="0C524CF2" w14:textId="77777777" w:rsidR="00342EC9" w:rsidRDefault="00342EC9" w:rsidP="00342EC9">
            <w:pPr>
              <w:jc w:val="center"/>
            </w:pPr>
          </w:p>
        </w:tc>
        <w:tc>
          <w:tcPr>
            <w:tcW w:w="1800" w:type="dxa"/>
          </w:tcPr>
          <w:p w14:paraId="4C5E9005" w14:textId="77777777" w:rsidR="00342EC9" w:rsidRDefault="00342EC9" w:rsidP="00342EC9"/>
          <w:p w14:paraId="62C7DAD1" w14:textId="77777777" w:rsidR="00342EC9" w:rsidRDefault="00342EC9" w:rsidP="00342EC9">
            <w:r>
              <w:t>Step/Decision reference</w:t>
            </w:r>
          </w:p>
        </w:tc>
        <w:tc>
          <w:tcPr>
            <w:tcW w:w="4274" w:type="dxa"/>
          </w:tcPr>
          <w:p w14:paraId="28227D50" w14:textId="77777777" w:rsidR="00342EC9" w:rsidRDefault="00342EC9" w:rsidP="00342EC9"/>
          <w:p w14:paraId="4E2E236E" w14:textId="77777777" w:rsidR="00342EC9" w:rsidRDefault="00342EC9" w:rsidP="00342EC9">
            <w:r>
              <w:t>An alphabetic reference beside each step and decision. This reference appears on the table in each section to facilitate reading the table against the process flowcharts.</w:t>
            </w:r>
          </w:p>
        </w:tc>
      </w:tr>
      <w:tr w:rsidR="00342EC9" w14:paraId="318E2BD0" w14:textId="77777777" w:rsidTr="00342EC9">
        <w:tc>
          <w:tcPr>
            <w:tcW w:w="2448" w:type="dxa"/>
          </w:tcPr>
          <w:p w14:paraId="5D2615CB" w14:textId="77777777" w:rsidR="00342EC9" w:rsidRDefault="00342EC9" w:rsidP="00342EC9">
            <w:pPr>
              <w:jc w:val="center"/>
            </w:pPr>
          </w:p>
          <w:p w14:paraId="191EE610" w14:textId="77777777" w:rsidR="00342EC9" w:rsidRDefault="00342EC9" w:rsidP="00342EC9">
            <w:pPr>
              <w:jc w:val="center"/>
              <w:rPr>
                <w:rFonts w:ascii="Courier New" w:hAnsi="Courier New" w:cs="Courier New"/>
              </w:rPr>
            </w:pPr>
            <w:r>
              <w:rPr>
                <w:rFonts w:ascii="Courier New" w:hAnsi="Courier New" w:cs="Courier New"/>
              </w:rPr>
              <w:t>T052.2</w:t>
            </w:r>
          </w:p>
          <w:p w14:paraId="516CBB12" w14:textId="77777777" w:rsidR="00342EC9" w:rsidRDefault="00342EC9" w:rsidP="00342EC9">
            <w:pPr>
              <w:jc w:val="center"/>
            </w:pPr>
          </w:p>
        </w:tc>
        <w:tc>
          <w:tcPr>
            <w:tcW w:w="1800" w:type="dxa"/>
          </w:tcPr>
          <w:p w14:paraId="53517169" w14:textId="77777777" w:rsidR="00342EC9" w:rsidRDefault="00342EC9" w:rsidP="00342EC9"/>
          <w:p w14:paraId="7678BB1C" w14:textId="77777777" w:rsidR="00342EC9" w:rsidRDefault="00342EC9" w:rsidP="00342EC9">
            <w:r>
              <w:t>Transaction reference</w:t>
            </w:r>
          </w:p>
        </w:tc>
        <w:tc>
          <w:tcPr>
            <w:tcW w:w="4274" w:type="dxa"/>
          </w:tcPr>
          <w:p w14:paraId="10AF0594" w14:textId="77777777" w:rsidR="00342EC9" w:rsidRDefault="00342EC9" w:rsidP="00342EC9"/>
          <w:p w14:paraId="2575C187" w14:textId="77777777" w:rsidR="00342EC9" w:rsidRDefault="00342EC9" w:rsidP="00342EC9">
            <w:r>
              <w:t>Reference to the data transaction occurring as an output from the step it appears next to.</w:t>
            </w:r>
          </w:p>
        </w:tc>
      </w:tr>
    </w:tbl>
    <w:p w14:paraId="3633A740" w14:textId="77777777" w:rsidR="00342EC9" w:rsidRDefault="00342EC9" w:rsidP="00342EC9">
      <w:pPr>
        <w:spacing w:line="360" w:lineRule="auto"/>
      </w:pPr>
    </w:p>
    <w:p w14:paraId="76A4102C" w14:textId="77777777" w:rsidR="00342EC9" w:rsidRDefault="00342EC9" w:rsidP="0067484B">
      <w:pPr>
        <w:ind w:firstLine="720"/>
        <w:rPr>
          <w:b/>
          <w:sz w:val="24"/>
        </w:rPr>
      </w:pPr>
    </w:p>
    <w:p w14:paraId="0F0D6498" w14:textId="77777777" w:rsidR="00342EC9" w:rsidRDefault="00342EC9" w:rsidP="0067484B">
      <w:pPr>
        <w:ind w:firstLine="720"/>
        <w:rPr>
          <w:b/>
          <w:sz w:val="24"/>
        </w:rPr>
      </w:pPr>
    </w:p>
    <w:sectPr w:rsidR="00342EC9" w:rsidSect="00343F6A">
      <w:footerReference w:type="default" r:id="rId30"/>
      <w:footerReference w:type="first" r:id="rId31"/>
      <w:pgSz w:w="11906" w:h="16838" w:code="9"/>
      <w:pgMar w:top="1440" w:right="1797" w:bottom="-1588" w:left="1797" w:header="709" w:footer="737"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DEE3" w14:textId="77777777" w:rsidR="002B1A2D" w:rsidRDefault="002B1A2D">
      <w:r>
        <w:separator/>
      </w:r>
    </w:p>
  </w:endnote>
  <w:endnote w:type="continuationSeparator" w:id="0">
    <w:p w14:paraId="7AC2DA6B" w14:textId="77777777" w:rsidR="002B1A2D" w:rsidRDefault="002B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40DE" w14:textId="77777777" w:rsidR="00743E02" w:rsidRDefault="00743E02" w:rsidP="0067484B">
    <w:pPr>
      <w:pStyle w:val="Footer"/>
      <w:tabs>
        <w:tab w:val="clear" w:pos="8306"/>
        <w:tab w:val="right" w:pos="8307"/>
      </w:tabs>
      <w:rPr>
        <w:rFonts w:ascii="Calibri" w:hAnsi="Calibri"/>
        <w:sz w:val="18"/>
        <w:szCs w:val="18"/>
      </w:rPr>
    </w:pPr>
    <w:r>
      <w:rPr>
        <w:rFonts w:ascii="Calibri" w:hAnsi="Calibri"/>
        <w:sz w:val="18"/>
        <w:szCs w:val="18"/>
      </w:rPr>
      <w:t>Document Ref: CSD0003</w:t>
    </w:r>
    <w:r>
      <w:rPr>
        <w:rFonts w:ascii="Calibri" w:hAnsi="Calibri"/>
        <w:sz w:val="18"/>
        <w:szCs w:val="18"/>
      </w:rPr>
      <w:tab/>
    </w:r>
    <w:r>
      <w:rPr>
        <w:rFonts w:ascii="Calibri" w:hAnsi="Calibri"/>
        <w:sz w:val="18"/>
        <w:szCs w:val="18"/>
      </w:rPr>
      <w:tab/>
      <w:t xml:space="preserve">Provider of Last Resort </w:t>
    </w:r>
  </w:p>
  <w:p w14:paraId="427E51D3" w14:textId="6F60CA75" w:rsidR="00743E02" w:rsidRPr="0067484B" w:rsidRDefault="00743E02" w:rsidP="0067484B">
    <w:pPr>
      <w:pStyle w:val="Footer"/>
    </w:pPr>
    <w:r>
      <w:rPr>
        <w:rFonts w:ascii="Calibri" w:hAnsi="Calibri"/>
        <w:sz w:val="18"/>
        <w:szCs w:val="18"/>
      </w:rPr>
      <w:t>Version</w:t>
    </w:r>
    <w:r w:rsidR="001E6D20">
      <w:rPr>
        <w:rFonts w:ascii="Calibri" w:hAnsi="Calibri"/>
        <w:sz w:val="18"/>
        <w:szCs w:val="18"/>
      </w:rPr>
      <w:t xml:space="preserve"> </w:t>
    </w:r>
    <w:r w:rsidR="003E5983">
      <w:rPr>
        <w:rFonts w:ascii="Calibri" w:hAnsi="Calibri"/>
        <w:sz w:val="18"/>
        <w:szCs w:val="18"/>
      </w:rPr>
      <w:t>6</w:t>
    </w:r>
    <w:r w:rsidR="001E6D20">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2AC5">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2AC5">
      <w:rPr>
        <w:rStyle w:val="PageNumber"/>
        <w:rFonts w:ascii="Calibri" w:hAnsi="Calibri"/>
        <w:noProof/>
        <w:sz w:val="18"/>
        <w:szCs w:val="18"/>
      </w:rPr>
      <w:t>11</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1E7E" w14:textId="48D6C062" w:rsidR="00743E02" w:rsidRDefault="003149E2">
    <w:pPr>
      <w:pStyle w:val="Footer"/>
    </w:pPr>
    <w:r>
      <w:rPr>
        <w:noProof/>
      </w:rPr>
      <mc:AlternateContent>
        <mc:Choice Requires="wps">
          <w:drawing>
            <wp:anchor distT="0" distB="0" distL="114300" distR="114300" simplePos="0" relativeHeight="251658240" behindDoc="0" locked="0" layoutInCell="1" allowOverlap="1" wp14:anchorId="67A387E9" wp14:editId="7EDEEA7D">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D4A8" w14:textId="77777777" w:rsidR="00743E02" w:rsidRDefault="00743E02">
                          <w:pPr>
                            <w:jc w:val="right"/>
                            <w:rPr>
                              <w:noProof/>
                              <w:sz w:val="16"/>
                            </w:rPr>
                          </w:pPr>
                          <w:r w:rsidRPr="00243CFD">
                            <w:rPr>
                              <w:noProof/>
                              <w:sz w:val="16"/>
                              <w:highlight w:val="lightGray"/>
                            </w:rPr>
                            <w:t xml:space="preserve">Report Title </w:t>
                          </w:r>
                        </w:p>
                        <w:p w14:paraId="6667F0CB" w14:textId="77777777" w:rsidR="00743E02" w:rsidRDefault="00743E02">
                          <w:pPr>
                            <w:jc w:val="right"/>
                            <w:rPr>
                              <w:rStyle w:val="PageNumber"/>
                              <w:rFonts w:ascii="Arial" w:hAnsi="Arial"/>
                              <w:sz w:val="16"/>
                            </w:rPr>
                          </w:pPr>
                          <w:r w:rsidRPr="00243CFD">
                            <w:rPr>
                              <w:rStyle w:val="PageNumber"/>
                              <w:rFonts w:ascii="Arial" w:hAnsi="Arial"/>
                              <w:sz w:val="16"/>
                              <w:highlight w:val="lightGray"/>
                            </w:rPr>
                            <w:t>Date</w:t>
                          </w:r>
                        </w:p>
                        <w:p w14:paraId="3C8D8BB1" w14:textId="77777777" w:rsidR="00743E02" w:rsidRDefault="00743E0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2AC5">
                            <w:rPr>
                              <w:rStyle w:val="PageNumber"/>
                              <w:rFonts w:ascii="Arial" w:hAnsi="Arial"/>
                              <w:noProof/>
                              <w:sz w:val="16"/>
                            </w:rPr>
                            <w:t>11</w:t>
                          </w:r>
                          <w:r>
                            <w:rPr>
                              <w:rStyle w:val="PageNumber"/>
                              <w:rFonts w:ascii="Arial" w:hAnsi="Arial"/>
                              <w:sz w:val="16"/>
                            </w:rPr>
                            <w:fldChar w:fldCharType="end"/>
                          </w:r>
                        </w:p>
                        <w:p w14:paraId="1D34C704" w14:textId="77777777" w:rsidR="00743E02" w:rsidRDefault="00743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387E9"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07A1D4A8" w14:textId="77777777" w:rsidR="00743E02" w:rsidRDefault="00743E02">
                    <w:pPr>
                      <w:jc w:val="right"/>
                      <w:rPr>
                        <w:noProof/>
                        <w:sz w:val="16"/>
                      </w:rPr>
                    </w:pPr>
                    <w:r w:rsidRPr="00243CFD">
                      <w:rPr>
                        <w:noProof/>
                        <w:sz w:val="16"/>
                        <w:highlight w:val="lightGray"/>
                      </w:rPr>
                      <w:t xml:space="preserve">Report Title </w:t>
                    </w:r>
                  </w:p>
                  <w:p w14:paraId="6667F0CB" w14:textId="77777777" w:rsidR="00743E02" w:rsidRDefault="00743E02">
                    <w:pPr>
                      <w:jc w:val="right"/>
                      <w:rPr>
                        <w:rStyle w:val="PageNumber"/>
                        <w:rFonts w:ascii="Arial" w:hAnsi="Arial"/>
                        <w:sz w:val="16"/>
                      </w:rPr>
                    </w:pPr>
                    <w:r w:rsidRPr="00243CFD">
                      <w:rPr>
                        <w:rStyle w:val="PageNumber"/>
                        <w:rFonts w:ascii="Arial" w:hAnsi="Arial"/>
                        <w:sz w:val="16"/>
                        <w:highlight w:val="lightGray"/>
                      </w:rPr>
                      <w:t>Date</w:t>
                    </w:r>
                  </w:p>
                  <w:p w14:paraId="3C8D8BB1" w14:textId="77777777" w:rsidR="00743E02" w:rsidRDefault="00743E0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2AC5">
                      <w:rPr>
                        <w:rStyle w:val="PageNumber"/>
                        <w:rFonts w:ascii="Arial" w:hAnsi="Arial"/>
                        <w:noProof/>
                        <w:sz w:val="16"/>
                      </w:rPr>
                      <w:t>11</w:t>
                    </w:r>
                    <w:r>
                      <w:rPr>
                        <w:rStyle w:val="PageNumber"/>
                        <w:rFonts w:ascii="Arial" w:hAnsi="Arial"/>
                        <w:sz w:val="16"/>
                      </w:rPr>
                      <w:fldChar w:fldCharType="end"/>
                    </w:r>
                  </w:p>
                  <w:p w14:paraId="1D34C704" w14:textId="77777777" w:rsidR="00743E02" w:rsidRDefault="00743E0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8EA2" w14:textId="77777777" w:rsidR="002B1A2D" w:rsidRDefault="002B1A2D">
      <w:r>
        <w:separator/>
      </w:r>
    </w:p>
  </w:footnote>
  <w:footnote w:type="continuationSeparator" w:id="0">
    <w:p w14:paraId="4AB6DCAE" w14:textId="77777777" w:rsidR="002B1A2D" w:rsidRDefault="002B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736B"/>
    <w:multiLevelType w:val="hybridMultilevel"/>
    <w:tmpl w:val="5D54D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51006"/>
    <w:multiLevelType w:val="hybridMultilevel"/>
    <w:tmpl w:val="CF08E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76FDA"/>
    <w:multiLevelType w:val="hybridMultilevel"/>
    <w:tmpl w:val="C3F6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84043"/>
    <w:multiLevelType w:val="hybridMultilevel"/>
    <w:tmpl w:val="9C26E56C"/>
    <w:lvl w:ilvl="0" w:tplc="6EE85E2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2C5671D"/>
    <w:multiLevelType w:val="hybridMultilevel"/>
    <w:tmpl w:val="E6A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D54D9"/>
    <w:multiLevelType w:val="multilevel"/>
    <w:tmpl w:val="91B2F2E6"/>
    <w:lvl w:ilvl="0">
      <w:start w:val="1"/>
      <w:numFmt w:val="decimal"/>
      <w:pStyle w:val="Heading1"/>
      <w:lvlText w:val="%1."/>
      <w:lvlJc w:val="left"/>
      <w:pPr>
        <w:tabs>
          <w:tab w:val="num" w:pos="908"/>
        </w:tabs>
        <w:ind w:left="908"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F62620"/>
    <w:multiLevelType w:val="hybridMultilevel"/>
    <w:tmpl w:val="9A3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13604">
    <w:abstractNumId w:val="16"/>
  </w:num>
  <w:num w:numId="2" w16cid:durableId="1314286676">
    <w:abstractNumId w:val="1"/>
  </w:num>
  <w:num w:numId="3" w16cid:durableId="89157852">
    <w:abstractNumId w:val="0"/>
  </w:num>
  <w:num w:numId="4" w16cid:durableId="230775872">
    <w:abstractNumId w:val="9"/>
  </w:num>
  <w:num w:numId="5" w16cid:durableId="1278951299">
    <w:abstractNumId w:val="6"/>
  </w:num>
  <w:num w:numId="6" w16cid:durableId="953755403">
    <w:abstractNumId w:val="18"/>
  </w:num>
  <w:num w:numId="7" w16cid:durableId="981890697">
    <w:abstractNumId w:val="14"/>
  </w:num>
  <w:num w:numId="8" w16cid:durableId="2035420589">
    <w:abstractNumId w:val="10"/>
  </w:num>
  <w:num w:numId="9" w16cid:durableId="202519830">
    <w:abstractNumId w:val="2"/>
  </w:num>
  <w:num w:numId="10" w16cid:durableId="448475221">
    <w:abstractNumId w:val="15"/>
  </w:num>
  <w:num w:numId="11" w16cid:durableId="1104812055">
    <w:abstractNumId w:val="4"/>
  </w:num>
  <w:num w:numId="12" w16cid:durableId="216474109">
    <w:abstractNumId w:val="7"/>
  </w:num>
  <w:num w:numId="13" w16cid:durableId="1397314874">
    <w:abstractNumId w:val="11"/>
  </w:num>
  <w:num w:numId="14" w16cid:durableId="463811382">
    <w:abstractNumId w:val="19"/>
  </w:num>
  <w:num w:numId="15" w16cid:durableId="863592580">
    <w:abstractNumId w:val="12"/>
  </w:num>
  <w:num w:numId="16" w16cid:durableId="1335375281">
    <w:abstractNumId w:val="5"/>
  </w:num>
  <w:num w:numId="17" w16cid:durableId="513302269">
    <w:abstractNumId w:val="17"/>
  </w:num>
  <w:num w:numId="18" w16cid:durableId="680931508">
    <w:abstractNumId w:val="13"/>
  </w:num>
  <w:num w:numId="19" w16cid:durableId="202862131">
    <w:abstractNumId w:val="8"/>
  </w:num>
  <w:num w:numId="20" w16cid:durableId="1108544976">
    <w:abstractNumId w:val="20"/>
  </w:num>
  <w:num w:numId="21" w16cid:durableId="19678532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775214">
    <w:abstractNumId w:val="16"/>
  </w:num>
  <w:num w:numId="23" w16cid:durableId="667056284">
    <w:abstractNumId w:val="16"/>
  </w:num>
  <w:num w:numId="24" w16cid:durableId="1012413293">
    <w:abstractNumId w:val="16"/>
  </w:num>
  <w:num w:numId="25" w16cid:durableId="1257905528">
    <w:abstractNumId w:val="16"/>
  </w:num>
  <w:num w:numId="26" w16cid:durableId="1853446530">
    <w:abstractNumId w:val="3"/>
  </w:num>
  <w:num w:numId="27" w16cid:durableId="1712415573">
    <w:abstractNumId w:val="16"/>
  </w:num>
  <w:num w:numId="28" w16cid:durableId="542717826">
    <w:abstractNumId w:val="16"/>
  </w:num>
  <w:num w:numId="29" w16cid:durableId="2087994492">
    <w:abstractNumId w:val="16"/>
  </w:num>
  <w:num w:numId="30" w16cid:durableId="1302953906">
    <w:abstractNumId w:val="16"/>
  </w:num>
  <w:num w:numId="31" w16cid:durableId="696271809">
    <w:abstractNumId w:val="16"/>
  </w:num>
  <w:num w:numId="32" w16cid:durableId="586429094">
    <w:abstractNumId w:val="16"/>
  </w:num>
  <w:num w:numId="33" w16cid:durableId="1600137782">
    <w:abstractNumId w:val="16"/>
  </w:num>
  <w:num w:numId="34" w16cid:durableId="120540556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5284"/>
    <w:rsid w:val="0000665B"/>
    <w:rsid w:val="000068CA"/>
    <w:rsid w:val="000100F1"/>
    <w:rsid w:val="00013A0F"/>
    <w:rsid w:val="00026B24"/>
    <w:rsid w:val="00026F8E"/>
    <w:rsid w:val="000306A7"/>
    <w:rsid w:val="00030E08"/>
    <w:rsid w:val="00033765"/>
    <w:rsid w:val="00034AE2"/>
    <w:rsid w:val="000365D3"/>
    <w:rsid w:val="00056537"/>
    <w:rsid w:val="00060C41"/>
    <w:rsid w:val="000627B9"/>
    <w:rsid w:val="00062E5D"/>
    <w:rsid w:val="00066D89"/>
    <w:rsid w:val="00067ED7"/>
    <w:rsid w:val="0007510B"/>
    <w:rsid w:val="00080A4B"/>
    <w:rsid w:val="00080A9E"/>
    <w:rsid w:val="00080D2F"/>
    <w:rsid w:val="000819B6"/>
    <w:rsid w:val="00092D7A"/>
    <w:rsid w:val="00097922"/>
    <w:rsid w:val="000A2921"/>
    <w:rsid w:val="000A451A"/>
    <w:rsid w:val="000A6DE4"/>
    <w:rsid w:val="000B2127"/>
    <w:rsid w:val="000C08B8"/>
    <w:rsid w:val="000C51D2"/>
    <w:rsid w:val="000D27FE"/>
    <w:rsid w:val="000D31BB"/>
    <w:rsid w:val="000D5400"/>
    <w:rsid w:val="000D726C"/>
    <w:rsid w:val="000E5232"/>
    <w:rsid w:val="000E6473"/>
    <w:rsid w:val="000E6999"/>
    <w:rsid w:val="000F18E6"/>
    <w:rsid w:val="000F7C69"/>
    <w:rsid w:val="00103DF6"/>
    <w:rsid w:val="0010576A"/>
    <w:rsid w:val="001101B6"/>
    <w:rsid w:val="00116045"/>
    <w:rsid w:val="001167E8"/>
    <w:rsid w:val="00134FF5"/>
    <w:rsid w:val="00145AA7"/>
    <w:rsid w:val="001571E2"/>
    <w:rsid w:val="00162440"/>
    <w:rsid w:val="0016386A"/>
    <w:rsid w:val="00164ED7"/>
    <w:rsid w:val="00166E64"/>
    <w:rsid w:val="00195606"/>
    <w:rsid w:val="00195717"/>
    <w:rsid w:val="00197952"/>
    <w:rsid w:val="001A4423"/>
    <w:rsid w:val="001A49B1"/>
    <w:rsid w:val="001A72FB"/>
    <w:rsid w:val="001A7CDB"/>
    <w:rsid w:val="001B0E86"/>
    <w:rsid w:val="001B2383"/>
    <w:rsid w:val="001B6650"/>
    <w:rsid w:val="001B7AB2"/>
    <w:rsid w:val="001C190E"/>
    <w:rsid w:val="001C1B0F"/>
    <w:rsid w:val="001D365C"/>
    <w:rsid w:val="001E6D20"/>
    <w:rsid w:val="001F4732"/>
    <w:rsid w:val="00214BD8"/>
    <w:rsid w:val="00227D2D"/>
    <w:rsid w:val="00236FAC"/>
    <w:rsid w:val="002432DC"/>
    <w:rsid w:val="00243CFD"/>
    <w:rsid w:val="002640DA"/>
    <w:rsid w:val="00276C17"/>
    <w:rsid w:val="00283A4B"/>
    <w:rsid w:val="00283BF4"/>
    <w:rsid w:val="002866BE"/>
    <w:rsid w:val="002957F4"/>
    <w:rsid w:val="00295AE3"/>
    <w:rsid w:val="002A033F"/>
    <w:rsid w:val="002A3499"/>
    <w:rsid w:val="002A3A62"/>
    <w:rsid w:val="002A5A96"/>
    <w:rsid w:val="002A7C3B"/>
    <w:rsid w:val="002B1254"/>
    <w:rsid w:val="002B1A2D"/>
    <w:rsid w:val="002C0C09"/>
    <w:rsid w:val="002C1802"/>
    <w:rsid w:val="002C2358"/>
    <w:rsid w:val="002C528F"/>
    <w:rsid w:val="002C65B3"/>
    <w:rsid w:val="002E07A2"/>
    <w:rsid w:val="002E4FA9"/>
    <w:rsid w:val="002E6AB5"/>
    <w:rsid w:val="002E776C"/>
    <w:rsid w:val="002F075C"/>
    <w:rsid w:val="003020A0"/>
    <w:rsid w:val="0030238A"/>
    <w:rsid w:val="003023E3"/>
    <w:rsid w:val="003149E2"/>
    <w:rsid w:val="00324B16"/>
    <w:rsid w:val="003265ED"/>
    <w:rsid w:val="00331CC4"/>
    <w:rsid w:val="00332AC5"/>
    <w:rsid w:val="00334585"/>
    <w:rsid w:val="00342EC9"/>
    <w:rsid w:val="00343F6A"/>
    <w:rsid w:val="0034605E"/>
    <w:rsid w:val="00351F40"/>
    <w:rsid w:val="0036097F"/>
    <w:rsid w:val="0036350F"/>
    <w:rsid w:val="003639C9"/>
    <w:rsid w:val="00381772"/>
    <w:rsid w:val="00383AA9"/>
    <w:rsid w:val="003A27D6"/>
    <w:rsid w:val="003B4309"/>
    <w:rsid w:val="003B6C56"/>
    <w:rsid w:val="003B6FE7"/>
    <w:rsid w:val="003C482D"/>
    <w:rsid w:val="003C50FD"/>
    <w:rsid w:val="003C6851"/>
    <w:rsid w:val="003D1872"/>
    <w:rsid w:val="003D6F38"/>
    <w:rsid w:val="003D7D51"/>
    <w:rsid w:val="003E0E07"/>
    <w:rsid w:val="003E1615"/>
    <w:rsid w:val="003E43B3"/>
    <w:rsid w:val="003E5983"/>
    <w:rsid w:val="003E5B98"/>
    <w:rsid w:val="003E6A72"/>
    <w:rsid w:val="003E6DC7"/>
    <w:rsid w:val="003E7781"/>
    <w:rsid w:val="003F30E6"/>
    <w:rsid w:val="003F32C2"/>
    <w:rsid w:val="003F7B6C"/>
    <w:rsid w:val="00400238"/>
    <w:rsid w:val="00400AE2"/>
    <w:rsid w:val="00403122"/>
    <w:rsid w:val="00404276"/>
    <w:rsid w:val="004226A2"/>
    <w:rsid w:val="00423B48"/>
    <w:rsid w:val="00423D92"/>
    <w:rsid w:val="00424418"/>
    <w:rsid w:val="004253E3"/>
    <w:rsid w:val="00426EB9"/>
    <w:rsid w:val="00444935"/>
    <w:rsid w:val="00446785"/>
    <w:rsid w:val="00452247"/>
    <w:rsid w:val="00454151"/>
    <w:rsid w:val="00456F4E"/>
    <w:rsid w:val="004638C0"/>
    <w:rsid w:val="004661B4"/>
    <w:rsid w:val="00471B1A"/>
    <w:rsid w:val="004739F7"/>
    <w:rsid w:val="00474DAB"/>
    <w:rsid w:val="00475DAE"/>
    <w:rsid w:val="0048148C"/>
    <w:rsid w:val="004829E0"/>
    <w:rsid w:val="00486481"/>
    <w:rsid w:val="004B0BC4"/>
    <w:rsid w:val="004B1794"/>
    <w:rsid w:val="004B2A6D"/>
    <w:rsid w:val="004C014C"/>
    <w:rsid w:val="004C03BB"/>
    <w:rsid w:val="004C117F"/>
    <w:rsid w:val="004C1C64"/>
    <w:rsid w:val="004D2BA5"/>
    <w:rsid w:val="004D6F5F"/>
    <w:rsid w:val="004D73EF"/>
    <w:rsid w:val="004E52D8"/>
    <w:rsid w:val="004E5449"/>
    <w:rsid w:val="004E603D"/>
    <w:rsid w:val="004F267C"/>
    <w:rsid w:val="004F2B1B"/>
    <w:rsid w:val="004F4C4E"/>
    <w:rsid w:val="00512D9C"/>
    <w:rsid w:val="0051353D"/>
    <w:rsid w:val="0051662A"/>
    <w:rsid w:val="00534034"/>
    <w:rsid w:val="00534229"/>
    <w:rsid w:val="00535322"/>
    <w:rsid w:val="00541852"/>
    <w:rsid w:val="00544480"/>
    <w:rsid w:val="00554155"/>
    <w:rsid w:val="00571179"/>
    <w:rsid w:val="005730E8"/>
    <w:rsid w:val="00573E36"/>
    <w:rsid w:val="00586E76"/>
    <w:rsid w:val="00594BA1"/>
    <w:rsid w:val="00594E45"/>
    <w:rsid w:val="005D1E69"/>
    <w:rsid w:val="005D3410"/>
    <w:rsid w:val="005D3E90"/>
    <w:rsid w:val="005D4792"/>
    <w:rsid w:val="005D5A37"/>
    <w:rsid w:val="005E501F"/>
    <w:rsid w:val="005E5A26"/>
    <w:rsid w:val="005F0446"/>
    <w:rsid w:val="005F3EA3"/>
    <w:rsid w:val="00611469"/>
    <w:rsid w:val="00612C18"/>
    <w:rsid w:val="0061485F"/>
    <w:rsid w:val="00614E3F"/>
    <w:rsid w:val="00615D36"/>
    <w:rsid w:val="00624AA6"/>
    <w:rsid w:val="00643B9C"/>
    <w:rsid w:val="006511C8"/>
    <w:rsid w:val="0067484B"/>
    <w:rsid w:val="00675CBC"/>
    <w:rsid w:val="0067603A"/>
    <w:rsid w:val="00681ED9"/>
    <w:rsid w:val="006870A6"/>
    <w:rsid w:val="00691A7B"/>
    <w:rsid w:val="006A2853"/>
    <w:rsid w:val="006B00ED"/>
    <w:rsid w:val="006B5820"/>
    <w:rsid w:val="006C1C0B"/>
    <w:rsid w:val="006D1CBA"/>
    <w:rsid w:val="006E5F2B"/>
    <w:rsid w:val="00723F8A"/>
    <w:rsid w:val="0072641E"/>
    <w:rsid w:val="00730F33"/>
    <w:rsid w:val="007318EF"/>
    <w:rsid w:val="00731B1A"/>
    <w:rsid w:val="00731C4E"/>
    <w:rsid w:val="007374E5"/>
    <w:rsid w:val="00740C85"/>
    <w:rsid w:val="00743E02"/>
    <w:rsid w:val="00744E85"/>
    <w:rsid w:val="0075368C"/>
    <w:rsid w:val="00756C1B"/>
    <w:rsid w:val="0076109A"/>
    <w:rsid w:val="00765030"/>
    <w:rsid w:val="007703A9"/>
    <w:rsid w:val="00772236"/>
    <w:rsid w:val="00785276"/>
    <w:rsid w:val="00797FB7"/>
    <w:rsid w:val="007A0876"/>
    <w:rsid w:val="007A213C"/>
    <w:rsid w:val="007A6862"/>
    <w:rsid w:val="007A7CB5"/>
    <w:rsid w:val="007B115A"/>
    <w:rsid w:val="007B5392"/>
    <w:rsid w:val="007B6AD6"/>
    <w:rsid w:val="007C16CE"/>
    <w:rsid w:val="007C6149"/>
    <w:rsid w:val="007D1C55"/>
    <w:rsid w:val="007D2124"/>
    <w:rsid w:val="007D6A3F"/>
    <w:rsid w:val="007E2A96"/>
    <w:rsid w:val="007E2D54"/>
    <w:rsid w:val="007E537D"/>
    <w:rsid w:val="007F2885"/>
    <w:rsid w:val="007F3959"/>
    <w:rsid w:val="007F4E2F"/>
    <w:rsid w:val="008057E0"/>
    <w:rsid w:val="008064E4"/>
    <w:rsid w:val="00810A47"/>
    <w:rsid w:val="00822B7D"/>
    <w:rsid w:val="00823C39"/>
    <w:rsid w:val="00831351"/>
    <w:rsid w:val="0083444C"/>
    <w:rsid w:val="00841610"/>
    <w:rsid w:val="008438EE"/>
    <w:rsid w:val="00865D54"/>
    <w:rsid w:val="00867707"/>
    <w:rsid w:val="008703CD"/>
    <w:rsid w:val="00872452"/>
    <w:rsid w:val="008746C3"/>
    <w:rsid w:val="00885976"/>
    <w:rsid w:val="008873B7"/>
    <w:rsid w:val="00892A0C"/>
    <w:rsid w:val="008B10AD"/>
    <w:rsid w:val="008B6BB6"/>
    <w:rsid w:val="008C18AC"/>
    <w:rsid w:val="008C1A5F"/>
    <w:rsid w:val="008C607A"/>
    <w:rsid w:val="008C7889"/>
    <w:rsid w:val="008D1F73"/>
    <w:rsid w:val="008D3E50"/>
    <w:rsid w:val="008D6937"/>
    <w:rsid w:val="008E0FCD"/>
    <w:rsid w:val="008E10A3"/>
    <w:rsid w:val="008E26DD"/>
    <w:rsid w:val="008E2CD2"/>
    <w:rsid w:val="00902110"/>
    <w:rsid w:val="00915C17"/>
    <w:rsid w:val="009166CE"/>
    <w:rsid w:val="0092664C"/>
    <w:rsid w:val="00927065"/>
    <w:rsid w:val="009307A7"/>
    <w:rsid w:val="00934D5C"/>
    <w:rsid w:val="00935671"/>
    <w:rsid w:val="00950634"/>
    <w:rsid w:val="00950B08"/>
    <w:rsid w:val="00952551"/>
    <w:rsid w:val="00955215"/>
    <w:rsid w:val="00956302"/>
    <w:rsid w:val="00962E4C"/>
    <w:rsid w:val="009631AD"/>
    <w:rsid w:val="00964F8D"/>
    <w:rsid w:val="00965FA0"/>
    <w:rsid w:val="00967CAE"/>
    <w:rsid w:val="0097422A"/>
    <w:rsid w:val="00974C43"/>
    <w:rsid w:val="009754DE"/>
    <w:rsid w:val="00986B53"/>
    <w:rsid w:val="0099142A"/>
    <w:rsid w:val="009930CF"/>
    <w:rsid w:val="00995664"/>
    <w:rsid w:val="009B0BC4"/>
    <w:rsid w:val="009C349E"/>
    <w:rsid w:val="009C3B39"/>
    <w:rsid w:val="009D57FC"/>
    <w:rsid w:val="009D58CD"/>
    <w:rsid w:val="009D7D47"/>
    <w:rsid w:val="009E2575"/>
    <w:rsid w:val="009E34C6"/>
    <w:rsid w:val="009E364D"/>
    <w:rsid w:val="009F5B4E"/>
    <w:rsid w:val="00A02729"/>
    <w:rsid w:val="00A070B5"/>
    <w:rsid w:val="00A1044E"/>
    <w:rsid w:val="00A108D2"/>
    <w:rsid w:val="00A112DD"/>
    <w:rsid w:val="00A16F18"/>
    <w:rsid w:val="00A20FEF"/>
    <w:rsid w:val="00A31676"/>
    <w:rsid w:val="00A43752"/>
    <w:rsid w:val="00A43A47"/>
    <w:rsid w:val="00A43EA4"/>
    <w:rsid w:val="00A50AAF"/>
    <w:rsid w:val="00A5136E"/>
    <w:rsid w:val="00A5152D"/>
    <w:rsid w:val="00A540D9"/>
    <w:rsid w:val="00A5480B"/>
    <w:rsid w:val="00A661D3"/>
    <w:rsid w:val="00A6694F"/>
    <w:rsid w:val="00A87162"/>
    <w:rsid w:val="00A95FB4"/>
    <w:rsid w:val="00AA1422"/>
    <w:rsid w:val="00AA1DC8"/>
    <w:rsid w:val="00AA4116"/>
    <w:rsid w:val="00AB0BFF"/>
    <w:rsid w:val="00AB151A"/>
    <w:rsid w:val="00AC49AC"/>
    <w:rsid w:val="00AC539E"/>
    <w:rsid w:val="00AD6334"/>
    <w:rsid w:val="00AD679C"/>
    <w:rsid w:val="00AE4AD8"/>
    <w:rsid w:val="00AF1A4A"/>
    <w:rsid w:val="00AF36F9"/>
    <w:rsid w:val="00AF4BE0"/>
    <w:rsid w:val="00B0019F"/>
    <w:rsid w:val="00B019EC"/>
    <w:rsid w:val="00B05885"/>
    <w:rsid w:val="00B17531"/>
    <w:rsid w:val="00B252B3"/>
    <w:rsid w:val="00B303CA"/>
    <w:rsid w:val="00B30CC3"/>
    <w:rsid w:val="00B33996"/>
    <w:rsid w:val="00B340DC"/>
    <w:rsid w:val="00B43E7C"/>
    <w:rsid w:val="00B5016B"/>
    <w:rsid w:val="00B85FB4"/>
    <w:rsid w:val="00B9630C"/>
    <w:rsid w:val="00B97382"/>
    <w:rsid w:val="00BA2241"/>
    <w:rsid w:val="00BA5B08"/>
    <w:rsid w:val="00BA5DC1"/>
    <w:rsid w:val="00BA69BB"/>
    <w:rsid w:val="00BC054F"/>
    <w:rsid w:val="00BC2608"/>
    <w:rsid w:val="00BD0803"/>
    <w:rsid w:val="00BE0534"/>
    <w:rsid w:val="00BE34F9"/>
    <w:rsid w:val="00BF3814"/>
    <w:rsid w:val="00BF4EF8"/>
    <w:rsid w:val="00BF7C11"/>
    <w:rsid w:val="00C011A7"/>
    <w:rsid w:val="00C02596"/>
    <w:rsid w:val="00C03477"/>
    <w:rsid w:val="00C042FE"/>
    <w:rsid w:val="00C20731"/>
    <w:rsid w:val="00C238ED"/>
    <w:rsid w:val="00C3337F"/>
    <w:rsid w:val="00C3422A"/>
    <w:rsid w:val="00C610DA"/>
    <w:rsid w:val="00C63E8C"/>
    <w:rsid w:val="00C74784"/>
    <w:rsid w:val="00C75775"/>
    <w:rsid w:val="00C7628E"/>
    <w:rsid w:val="00C80363"/>
    <w:rsid w:val="00C82C9C"/>
    <w:rsid w:val="00C903F2"/>
    <w:rsid w:val="00CA393F"/>
    <w:rsid w:val="00CB0CDC"/>
    <w:rsid w:val="00CB32C2"/>
    <w:rsid w:val="00CC0308"/>
    <w:rsid w:val="00CC0D33"/>
    <w:rsid w:val="00CC1FD3"/>
    <w:rsid w:val="00CC2421"/>
    <w:rsid w:val="00CC3304"/>
    <w:rsid w:val="00CC43C1"/>
    <w:rsid w:val="00CD4467"/>
    <w:rsid w:val="00CE3ACB"/>
    <w:rsid w:val="00CE4D97"/>
    <w:rsid w:val="00CF4CF4"/>
    <w:rsid w:val="00D04F7D"/>
    <w:rsid w:val="00D066D2"/>
    <w:rsid w:val="00D07715"/>
    <w:rsid w:val="00D11775"/>
    <w:rsid w:val="00D23870"/>
    <w:rsid w:val="00D24645"/>
    <w:rsid w:val="00D41AC5"/>
    <w:rsid w:val="00D44DF7"/>
    <w:rsid w:val="00D539A5"/>
    <w:rsid w:val="00D55770"/>
    <w:rsid w:val="00D641CA"/>
    <w:rsid w:val="00D67DEE"/>
    <w:rsid w:val="00D719D0"/>
    <w:rsid w:val="00D733A9"/>
    <w:rsid w:val="00D81B21"/>
    <w:rsid w:val="00D8681D"/>
    <w:rsid w:val="00DC1473"/>
    <w:rsid w:val="00DC5CC0"/>
    <w:rsid w:val="00DC5E87"/>
    <w:rsid w:val="00DC5F9F"/>
    <w:rsid w:val="00DC6BEA"/>
    <w:rsid w:val="00DD3397"/>
    <w:rsid w:val="00DE17D1"/>
    <w:rsid w:val="00DE1B0A"/>
    <w:rsid w:val="00DE238A"/>
    <w:rsid w:val="00DF0B72"/>
    <w:rsid w:val="00DF1FD2"/>
    <w:rsid w:val="00E00068"/>
    <w:rsid w:val="00E246E0"/>
    <w:rsid w:val="00E25CEE"/>
    <w:rsid w:val="00E37B9C"/>
    <w:rsid w:val="00E421BA"/>
    <w:rsid w:val="00E440D7"/>
    <w:rsid w:val="00E454A9"/>
    <w:rsid w:val="00E50A12"/>
    <w:rsid w:val="00E65A0E"/>
    <w:rsid w:val="00E73FA7"/>
    <w:rsid w:val="00E923A6"/>
    <w:rsid w:val="00E97395"/>
    <w:rsid w:val="00E97550"/>
    <w:rsid w:val="00EB66DC"/>
    <w:rsid w:val="00EB77E3"/>
    <w:rsid w:val="00EC364D"/>
    <w:rsid w:val="00EC4C5E"/>
    <w:rsid w:val="00ED2FA3"/>
    <w:rsid w:val="00EE14D6"/>
    <w:rsid w:val="00EE6AE0"/>
    <w:rsid w:val="00EE70F1"/>
    <w:rsid w:val="00EF75B8"/>
    <w:rsid w:val="00F00CA1"/>
    <w:rsid w:val="00F04EEB"/>
    <w:rsid w:val="00F1140A"/>
    <w:rsid w:val="00F12DD1"/>
    <w:rsid w:val="00F42184"/>
    <w:rsid w:val="00F55C49"/>
    <w:rsid w:val="00F70A95"/>
    <w:rsid w:val="00F759A7"/>
    <w:rsid w:val="00F83855"/>
    <w:rsid w:val="00F91FEB"/>
    <w:rsid w:val="00F96F09"/>
    <w:rsid w:val="00F97335"/>
    <w:rsid w:val="00F97A47"/>
    <w:rsid w:val="00FB5DE3"/>
    <w:rsid w:val="00FC4292"/>
    <w:rsid w:val="00FC4892"/>
    <w:rsid w:val="00FC5054"/>
    <w:rsid w:val="00FE77F7"/>
    <w:rsid w:val="00FF47E2"/>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71246"/>
  <w15:chartTrackingRefBased/>
  <w15:docId w15:val="{4429DE9B-2B4B-4960-A296-DE7C785E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ListParagraph">
    <w:name w:val="List Paragraph"/>
    <w:basedOn w:val="Normal"/>
    <w:link w:val="ListParagraphChar"/>
    <w:uiPriority w:val="34"/>
    <w:qFormat/>
    <w:rsid w:val="000068CA"/>
    <w:pPr>
      <w:ind w:left="720"/>
    </w:pPr>
  </w:style>
  <w:style w:type="character" w:customStyle="1" w:styleId="ListParagraphChar">
    <w:name w:val="List Paragraph Char"/>
    <w:link w:val="ListParagraph"/>
    <w:uiPriority w:val="34"/>
    <w:rsid w:val="009631AD"/>
    <w:rPr>
      <w:rFonts w:ascii="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4.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8.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3.vsd"/><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7.vsd"/><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lcf76f155ced4ddcb4097134ff3c332f xmlns="92c425b6-91f1-4cbe-95d3-c423884034b3">
      <Terms xmlns="http://schemas.microsoft.com/office/infopath/2007/PartnerControls"/>
    </lcf76f155ced4ddcb4097134ff3c332f>
    <SharedWithUsers xmlns="77bf5497-29a5-4877-b516-b1cf99bde26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EB84A-282C-43AE-B7CB-6308C17CAB4C}">
  <ds:schemaRefs>
    <ds:schemaRef ds:uri="http://schemas.microsoft.com/sharepoint/v3/contenttype/forms"/>
  </ds:schemaRefs>
</ds:datastoreItem>
</file>

<file path=customXml/itemProps2.xml><?xml version="1.0" encoding="utf-8"?>
<ds:datastoreItem xmlns:ds="http://schemas.openxmlformats.org/officeDocument/2006/customXml" ds:itemID="{3EA2B04F-2C1D-4383-970A-87A5801FECEA}">
  <ds:schemaRefs>
    <ds:schemaRef ds:uri="http://schemas.microsoft.com/office/2006/metadata/longProperties"/>
  </ds:schemaRefs>
</ds:datastoreItem>
</file>

<file path=customXml/itemProps3.xml><?xml version="1.0" encoding="utf-8"?>
<ds:datastoreItem xmlns:ds="http://schemas.openxmlformats.org/officeDocument/2006/customXml" ds:itemID="{AC8E3655-3A84-4044-9486-58DB5B7862A3}">
  <ds:schemaRefs>
    <ds:schemaRef ds:uri="http://schemas.microsoft.com/office/2006/metadata/properties"/>
    <ds:schemaRef ds:uri="http://schemas.microsoft.com/office/infopath/2007/PartnerControls"/>
    <ds:schemaRef ds:uri="ae0c0c2e-bb59-4f1d-8aa6-c6721a6fa825"/>
    <ds:schemaRef ds:uri="0a0ee851-ac6e-40fa-81ec-25d9fad23415"/>
  </ds:schemaRefs>
</ds:datastoreItem>
</file>

<file path=customXml/itemProps4.xml><?xml version="1.0" encoding="utf-8"?>
<ds:datastoreItem xmlns:ds="http://schemas.openxmlformats.org/officeDocument/2006/customXml" ds:itemID="{AD439D31-4F52-410A-BA47-DAB083E60C2F}">
  <ds:schemaRefs>
    <ds:schemaRef ds:uri="http://schemas.openxmlformats.org/officeDocument/2006/bibliography"/>
  </ds:schemaRefs>
</ds:datastoreItem>
</file>

<file path=customXml/itemProps5.xml><?xml version="1.0" encoding="utf-8"?>
<ds:datastoreItem xmlns:ds="http://schemas.openxmlformats.org/officeDocument/2006/customXml" ds:itemID="{565198A4-2572-4DB3-ADDB-72A9E25C3CBA}"/>
</file>

<file path=docProps/app.xml><?xml version="1.0" encoding="utf-8"?>
<Properties xmlns="http://schemas.openxmlformats.org/officeDocument/2006/extended-properties" xmlns:vt="http://schemas.openxmlformats.org/officeDocument/2006/docPropsVTypes">
  <Template>CMA MCP Template</Template>
  <TotalTime>4</TotalTime>
  <Pages>14</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CSD0003 Provider of Last Resort</vt:lpstr>
    </vt:vector>
  </TitlesOfParts>
  <Company>CMA Scotland</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CSD0003 Provider of Last Resort</dc:title>
  <dc:subject>CSD0003</dc:subject>
  <dc:creator>David Candlish</dc:creator>
  <cp:keywords/>
  <cp:lastModifiedBy>Amanda Hancock</cp:lastModifiedBy>
  <cp:revision>3</cp:revision>
  <cp:lastPrinted>2025-08-07T10:00:00Z</cp:lastPrinted>
  <dcterms:created xsi:type="dcterms:W3CDTF">2025-08-07T10:00:00Z</dcterms:created>
  <dcterms:modified xsi:type="dcterms:W3CDTF">2025-08-07T10:00:00Z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MediaServiceImageTags">
    <vt:lpwstr/>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